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47625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-360" w:right="-365" w:hanging="0"/>
        <w:jc w:val="center"/>
        <w:rPr>
          <w:b/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both"/>
        <w:rPr>
          <w:b/>
          <w:b/>
          <w:spacing w:val="48"/>
          <w:sz w:val="22"/>
          <w:szCs w:val="22"/>
        </w:rPr>
      </w:pPr>
      <w:r>
        <w:rPr>
          <w:b/>
          <w:spacing w:val="48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/>
      </w:pPr>
      <w:r>
        <w:rPr>
          <w:b/>
          <w:sz w:val="20"/>
          <w:szCs w:val="20"/>
        </w:rPr>
        <w:tab/>
        <w:t xml:space="preserve">               г. Дальнереченск       </w:t>
        <w:tab/>
        <w:tab/>
        <w:tab/>
        <w:tab/>
        <w:t xml:space="preserve">      </w:t>
      </w:r>
      <w:r>
        <w:rPr>
          <w:b/>
          <w:sz w:val="20"/>
          <w:szCs w:val="20"/>
        </w:rPr>
        <w:t xml:space="preserve">№  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-па</w:t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«___»</w:t>
      </w:r>
      <w:r>
        <w:rPr>
          <w:b/>
          <w:sz w:val="20"/>
          <w:szCs w:val="20"/>
          <w:u w:val="none"/>
        </w:rPr>
        <w:t xml:space="preserve"> __________ </w:t>
      </w:r>
      <w:r>
        <w:rPr>
          <w:b/>
          <w:sz w:val="20"/>
          <w:szCs w:val="20"/>
          <w:u w:val="none"/>
        </w:rPr>
        <w:t>г.</w:t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3420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муниципальную программу 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на 2020 - 2024 годы»</w:t>
      </w:r>
    </w:p>
    <w:p>
      <w:pPr>
        <w:pStyle w:val="Con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Normal"/>
        <w:widowControl/>
        <w:spacing w:lineRule="auto" w:line="276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постановлением администрации Дальнереченского муниципального районаот 14.09.2011г. № 523-па "Об утверждении концепции информационной безопасности Администрации Дальнереченского муниципального района",</w:t>
      </w:r>
      <w:r>
        <w:rPr>
          <w:rFonts w:cs="Times New Roman" w:ascii="Times New Roman" w:hAnsi="Times New Roman"/>
          <w:bCs/>
        </w:rPr>
        <w:t>постановлением администрации Дальнереченского муниципального района от 29.09.2015г. №300-па "Об утверждении Порядка разработки и реализации муниципальных программ в Дальнереченском муниципальном районе", руководствуясь Уставом, администрация Дальнереченского муниципального района</w:t>
      </w:r>
    </w:p>
    <w:p>
      <w:pPr>
        <w:pStyle w:val="Normal"/>
        <w:spacing w:lineRule="auto" w:line="27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Hlk36548267"/>
      <w:bookmarkEnd w:id="0"/>
    </w:p>
    <w:p>
      <w:pPr>
        <w:pStyle w:val="Normal"/>
        <w:spacing w:lineRule="auto" w:line="276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 Внести следующие изменения в муниципальную программу Дальнереченского муниципального района "Информатизация и обеспечение информационной безопасности техническое обслуживание и ремонт оргтехники в органах местного самоуправления Дальнереченского муниципального района на 2020 - 2024 годы" утвержденную постановлением администрации Дальнереченского муниципального района от 24.12.2019 №570-па (далее- Муниципальная программа):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 В строке паспорта Муниципальной программы "Ресурсное обеспечение реализации муниципальной программы за счет федерального бюджета, краевого бюджета, местного бюджета"цифры "11966,73" заменить на цифры "12026,73", цифры"4530,33" заменить на цифры "4590,33".</w:t>
      </w:r>
    </w:p>
    <w:p>
      <w:pPr>
        <w:pStyle w:val="ConsNormal"/>
        <w:widowControl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 В абзаце 1 пункта</w:t>
      </w:r>
      <w:r>
        <w:rPr>
          <w:rFonts w:cs="Times New Roman" w:ascii="Times New Roman" w:hAnsi="Times New Roman"/>
          <w:bCs/>
        </w:rPr>
        <w:t>4 М</w:t>
      </w:r>
      <w:r>
        <w:rPr>
          <w:rFonts w:cs="Times New Roman" w:ascii="Times New Roman" w:hAnsi="Times New Roman"/>
        </w:rPr>
        <w:t>униципальной программы цифры "11966,73" заменить на цифры "12026,73".</w:t>
      </w:r>
    </w:p>
    <w:p>
      <w:pPr>
        <w:pStyle w:val="ConsTitle"/>
        <w:widowControl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1.3. Изложить приложение №2 к Муниципальной программе в редакции приложения к настоящему постановлению.</w:t>
      </w:r>
    </w:p>
    <w:p>
      <w:pPr>
        <w:pStyle w:val="12"/>
        <w:tabs>
          <w:tab w:val="clear" w:pos="708"/>
          <w:tab w:val="left" w:pos="916" w:leader="none"/>
        </w:tabs>
        <w:spacing w:lineRule="auto" w:line="27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color w:val="000000"/>
          <w:sz w:val="28"/>
          <w:szCs w:val="28"/>
        </w:rPr>
        <w:t>на заместителя главы администрации Дальнереченского муниципального района Попова А.Г.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sectPr>
          <w:type w:val="nextPage"/>
          <w:pgSz w:w="11906" w:h="16838"/>
          <w:pgMar w:left="1276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ab/>
        <w:t>В.С. Дернов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к постановлению администрации </w:t>
      </w:r>
    </w:p>
    <w:p>
      <w:pPr>
        <w:pStyle w:val="ConsTitle"/>
        <w:widowControl/>
        <w:ind w:left="7371" w:hanging="0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Дальнереченского муниципального района</w:t>
      </w:r>
    </w:p>
    <w:p>
      <w:pPr>
        <w:pStyle w:val="ConsTitle"/>
        <w:widowControl/>
        <w:ind w:left="7371" w:hanging="0"/>
        <w:jc w:val="right"/>
        <w:rPr/>
      </w:pPr>
      <w:bookmarkStart w:id="1" w:name="_GoBack"/>
      <w:bookmarkEnd w:id="1"/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от                 г.  №   -па</w:t>
      </w:r>
    </w:p>
    <w:p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Normal"/>
        <w:widowControl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Перечень мероприятий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в 2020 - 2024 годы»</w:t>
      </w:r>
    </w:p>
    <w:p>
      <w:pPr>
        <w:pStyle w:val="Normal"/>
        <w:rPr/>
      </w:pPr>
      <w:r>
        <w:rPr/>
      </w:r>
    </w:p>
    <w:tbl>
      <w:tblPr>
        <w:tblW w:w="15340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6"/>
        <w:gridCol w:w="3111"/>
        <w:gridCol w:w="1965"/>
        <w:gridCol w:w="1134"/>
        <w:gridCol w:w="1476"/>
        <w:gridCol w:w="1353"/>
        <w:gridCol w:w="1354"/>
        <w:gridCol w:w="1353"/>
        <w:gridCol w:w="1355"/>
        <w:gridCol w:w="1371"/>
      </w:tblGrid>
      <w:tr>
        <w:trPr>
          <w:trHeight w:val="324" w:hRule="atLeast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N</w:t>
            </w:r>
          </w:p>
        </w:tc>
        <w:tc>
          <w:tcPr>
            <w:tcW w:w="311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Исполнители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Сроки</w:t>
            </w:r>
          </w:p>
        </w:tc>
        <w:tc>
          <w:tcPr>
            <w:tcW w:w="826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Объем финансирования                  </w:t>
            </w:r>
            <w:r>
              <w:rPr>
                <w:b/>
                <w:bCs/>
              </w:rPr>
              <w:t>Руб.</w:t>
            </w:r>
          </w:p>
        </w:tc>
      </w:tr>
      <w:tr>
        <w:trPr>
          <w:trHeight w:val="636" w:hRule="atLeast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1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мероприятий</w:t>
            </w:r>
          </w:p>
        </w:tc>
        <w:tc>
          <w:tcPr>
            <w:tcW w:w="19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исполне-ния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2020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2021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2022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2023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2024</w:t>
            </w:r>
          </w:p>
        </w:tc>
      </w:tr>
      <w:tr>
        <w:trPr>
          <w:trHeight w:val="324" w:hRule="atLeast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1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9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10</w:t>
            </w:r>
          </w:p>
        </w:tc>
      </w:tr>
      <w:tr>
        <w:trPr>
          <w:trHeight w:val="28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</w:tc>
        <w:tc>
          <w:tcPr>
            <w:tcW w:w="19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района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3990000,00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990000,00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750000,00</w:t>
            </w:r>
          </w:p>
        </w:tc>
      </w:tr>
      <w:tr>
        <w:trPr>
          <w:trHeight w:val="2364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60" w:hRule="atLeast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31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Расходы по оплате договоров с печатными средствами массовой информации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Согласно договора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2020-2024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3430000,00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830000,00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650000,00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650000,00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650000,00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lang w:val="en-US"/>
              </w:rPr>
              <w:t>650000,00</w:t>
            </w:r>
          </w:p>
        </w:tc>
      </w:tr>
      <w:tr>
        <w:trPr>
          <w:trHeight w:val="1260" w:hRule="atLeast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  <w:tc>
          <w:tcPr>
            <w:tcW w:w="31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Согласно договора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2020-2024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560000,00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160000,00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100000,00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100000,00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100000,00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100000,00</w:t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3013930,88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717930,88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574000,00</w:t>
            </w:r>
          </w:p>
        </w:tc>
      </w:tr>
      <w:tr>
        <w:trPr>
          <w:trHeight w:val="312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 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9454</w:t>
            </w:r>
            <w:r>
              <w:rPr>
                <w:b/>
                <w:bCs/>
              </w:rPr>
              <w:t>14,00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275014,00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167600,00</w:t>
            </w:r>
          </w:p>
        </w:tc>
      </w:tr>
      <w:tr>
        <w:trPr>
          <w:trHeight w:val="312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 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услугами Интернет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524000,00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44000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120000,00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Приобретение и установка средств антивирусной защиты в сети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270303,58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66303,58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51000,00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Оснащение администрации района, ее структурных подразделений, работающих с персональными данными, сертифицированными ПЭВМ, программными и техническими средствами защиты информации  Установка на Web сервера лицензированных программ, соответствующих требованиям  информационной безопасности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633700,00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162500,00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117800,00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76889,50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76889</w:t>
            </w:r>
            <w:r>
              <w:rPr>
                <w:b/>
                <w:bCs/>
                <w:lang w:val="en-US"/>
              </w:rPr>
              <w:t>,50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59702</w:t>
            </w:r>
            <w:r>
              <w:rPr>
                <w:b/>
                <w:bCs/>
              </w:rPr>
              <w:t>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59702</w:t>
            </w:r>
            <w:r>
              <w:rPr>
                <w:b/>
                <w:bCs/>
              </w:rPr>
              <w:t>,00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Реконструкция, модернизация локальных вычислительных сетей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119400,00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119400,00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48" w:hRule="atLeast"/>
        </w:trPr>
        <w:tc>
          <w:tcPr>
            <w:tcW w:w="8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311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1965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Согласно договора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2020-2024</w:t>
            </w:r>
          </w:p>
        </w:tc>
        <w:tc>
          <w:tcPr>
            <w:tcW w:w="14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543843</w:t>
            </w:r>
            <w:r>
              <w:rPr>
                <w:b/>
                <w:bCs/>
              </w:rPr>
              <w:t>,42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>2229043</w:t>
            </w:r>
            <w:r>
              <w:rPr>
                <w:b/>
                <w:bCs/>
              </w:rPr>
              <w:t>,42</w:t>
            </w:r>
          </w:p>
        </w:tc>
        <w:tc>
          <w:tcPr>
            <w:tcW w:w="13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  <w:tc>
          <w:tcPr>
            <w:tcW w:w="135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  <w:tc>
          <w:tcPr>
            <w:tcW w:w="13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  <w:tc>
          <w:tcPr>
            <w:tcW w:w="13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78700,00</w:t>
            </w:r>
          </w:p>
        </w:tc>
      </w:tr>
      <w:tr>
        <w:trPr>
          <w:trHeight w:val="948" w:hRule="atLeast"/>
        </w:trPr>
        <w:tc>
          <w:tcPr>
            <w:tcW w:w="86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1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МКУ"АХОЗУ"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МКУ "МЦБ"</w:t>
            </w:r>
          </w:p>
        </w:tc>
        <w:tc>
          <w:tcPr>
            <w:tcW w:w="113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4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7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4" w:hRule="atLeast"/>
        </w:trPr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11" w:type="dxa"/>
            <w:tcBorders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12176183,38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>739783,38</w:t>
            </w:r>
          </w:p>
        </w:tc>
        <w:tc>
          <w:tcPr>
            <w:tcW w:w="135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  <w:tc>
          <w:tcPr>
            <w:tcW w:w="135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1859100,00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99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6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b53cc"/>
    <w:pPr>
      <w:keepNext w:val="true"/>
      <w:keepLines/>
      <w:widowControl w:val="false"/>
      <w:spacing w:lineRule="auto" w:line="276" w:before="480" w:after="0"/>
      <w:ind w:firstLine="280"/>
      <w:jc w:val="both"/>
      <w:outlineLvl w:val="0"/>
    </w:pPr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link w:val="a6"/>
    <w:qFormat/>
    <w:rsid w:val="00f33069"/>
    <w:rPr>
      <w:sz w:val="22"/>
      <w:szCs w:val="22"/>
      <w:lang w:bidi="ar-SA"/>
    </w:rPr>
  </w:style>
  <w:style w:type="character" w:styleId="11" w:customStyle="1">
    <w:name w:val="Заголовок 1 Знак"/>
    <w:link w:val="1"/>
    <w:uiPriority w:val="9"/>
    <w:qFormat/>
    <w:rsid w:val="00eb53cc"/>
    <w:rPr>
      <w:rFonts w:ascii="Cambria" w:hAnsi="Cambria" w:eastAsia="Calibri"/>
      <w:b/>
      <w:bCs/>
      <w:color w:val="365F91"/>
      <w:sz w:val="28"/>
      <w:szCs w:val="28"/>
      <w:lang w:eastAsia="en-US"/>
    </w:rPr>
  </w:style>
  <w:style w:type="character" w:styleId="Strong">
    <w:name w:val="Strong"/>
    <w:uiPriority w:val="22"/>
    <w:qFormat/>
    <w:rsid w:val="00eb53cc"/>
    <w:rPr>
      <w:b/>
      <w:bCs/>
    </w:rPr>
  </w:style>
  <w:style w:type="character" w:styleId="Style14" w:customStyle="1">
    <w:name w:val="Абзац списка Знак"/>
    <w:basedOn w:val="DefaultParagraphFont"/>
    <w:link w:val="a9"/>
    <w:uiPriority w:val="99"/>
    <w:qFormat/>
    <w:rsid w:val="00eb53cc"/>
    <w:rPr/>
  </w:style>
  <w:style w:type="character" w:styleId="20" w:customStyle="1">
    <w:name w:val="Стиль Красная строка 2 + по ширине Слева:  0 см Знак Знак"/>
    <w:basedOn w:val="DefaultParagraphFont"/>
    <w:link w:val="200"/>
    <w:qFormat/>
    <w:locked/>
    <w:rsid w:val="00eb53cc"/>
    <w:rPr/>
  </w:style>
  <w:style w:type="character" w:styleId="PlaceholderText">
    <w:name w:val="Placeholder Text"/>
    <w:uiPriority w:val="99"/>
    <w:semiHidden/>
    <w:qFormat/>
    <w:rsid w:val="00030e82"/>
    <w:rPr>
      <w:color w:val="808080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rFonts w:cs="Times New Roman"/>
      <w:sz w:val="28"/>
      <w:szCs w:val="28"/>
    </w:rPr>
  </w:style>
  <w:style w:type="character" w:styleId="ListLabel3">
    <w:name w:val="ListLabel 3"/>
    <w:qFormat/>
    <w:rPr>
      <w:rFonts w:cs="Times New Roman"/>
      <w:sz w:val="28"/>
      <w:szCs w:val="28"/>
    </w:rPr>
  </w:style>
  <w:style w:type="character" w:styleId="ListLabel4">
    <w:name w:val="ListLabel 4"/>
    <w:qFormat/>
    <w:rPr>
      <w:color w:val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link w:val="a5"/>
    <w:rsid w:val="00f33069"/>
    <w:pPr>
      <w:shd w:val="clear" w:color="auto" w:fill="FFFFFF"/>
      <w:spacing w:lineRule="atLeast" w:line="240" w:before="420" w:after="600"/>
      <w:ind w:hanging="380"/>
    </w:pPr>
    <w:rPr>
      <w:sz w:val="22"/>
      <w:szCs w:val="22"/>
    </w:rPr>
  </w:style>
  <w:style w:type="paragraph" w:styleId="Style17">
    <w:name w:val="List"/>
    <w:basedOn w:val="Style16"/>
    <w:pPr>
      <w:shd w:val="clear" w:fill="FFFFFF"/>
    </w:pPr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0" w:customStyle="1">
    <w:name w:val="Знак Знак Знак"/>
    <w:basedOn w:val="Normal"/>
    <w:qFormat/>
    <w:rsid w:val="000c06eb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semiHidden/>
    <w:qFormat/>
    <w:rsid w:val="00493a5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a"/>
    <w:uiPriority w:val="99"/>
    <w:qFormat/>
    <w:rsid w:val="00eb53cc"/>
    <w:pPr>
      <w:widowControl w:val="false"/>
      <w:spacing w:lineRule="auto" w:line="276" w:before="0" w:after="0"/>
      <w:ind w:left="720" w:firstLine="280"/>
      <w:contextualSpacing/>
      <w:jc w:val="both"/>
    </w:pPr>
    <w:rPr>
      <w:sz w:val="20"/>
      <w:szCs w:val="20"/>
    </w:rPr>
  </w:style>
  <w:style w:type="paragraph" w:styleId="201" w:customStyle="1">
    <w:name w:val="Стиль Красная строка 2 + по ширине Слева:  0 см Знак"/>
    <w:basedOn w:val="Normal"/>
    <w:next w:val="Normal"/>
    <w:link w:val="20"/>
    <w:qFormat/>
    <w:rsid w:val="00eb53cc"/>
    <w:pPr>
      <w:spacing w:lineRule="auto" w:line="276" w:before="200" w:after="120"/>
      <w:ind w:firstLine="210"/>
      <w:jc w:val="both"/>
    </w:pPr>
    <w:rPr>
      <w:sz w:val="20"/>
      <w:szCs w:val="20"/>
    </w:rPr>
  </w:style>
  <w:style w:type="paragraph" w:styleId="21" w:customStyle="1">
    <w:name w:val="Основной текст 21"/>
    <w:basedOn w:val="Normal"/>
    <w:qFormat/>
    <w:rsid w:val="00eb53cc"/>
    <w:pPr>
      <w:widowControl w:val="false"/>
      <w:overflowPunct w:val="false"/>
      <w:ind w:firstLine="708"/>
      <w:textAlignment w:val="baseline"/>
    </w:pPr>
    <w:rPr>
      <w:sz w:val="20"/>
      <w:szCs w:val="20"/>
    </w:rPr>
  </w:style>
  <w:style w:type="paragraph" w:styleId="ConsTitle" w:customStyle="1">
    <w:name w:val="ConsTitle"/>
    <w:qFormat/>
    <w:rsid w:val="002e6d7f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5e536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Nonformat" w:customStyle="1">
    <w:name w:val="ConsNonformat"/>
    <w:qFormat/>
    <w:rsid w:val="00c129e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ConsCell" w:customStyle="1">
    <w:name w:val="ConsCell"/>
    <w:qFormat/>
    <w:rsid w:val="00c129ed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ConsPlusTitle" w:customStyle="1">
    <w:name w:val="ConsPlusTitle"/>
    <w:qFormat/>
    <w:rsid w:val="00c129ed"/>
    <w:pPr>
      <w:widowControl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2e5dbe"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uiPriority w:val="1"/>
    <w:qFormat/>
    <w:rsid w:val="008a325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2" w:customStyle="1">
    <w:name w:val="Без интервала1"/>
    <w:qFormat/>
    <w:rsid w:val="00fe1961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c06e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26A4A-D6A0-45E2-80D4-8641398C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LibreOffice/6.2.8.2$Linux_X86_64 LibreOffice_project/20$Build-2</Application>
  <Pages>6</Pages>
  <Words>592</Words>
  <Characters>4860</Characters>
  <CharactersWithSpaces>5373</CharactersWithSpaces>
  <Paragraphs>189</Paragraphs>
  <Company>АДМО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2020-09-30T04:41:00Z</dcterms:created>
  <dc:creator>КУМИ</dc:creator>
  <dc:description/>
  <dc:language>ru-RU</dc:language>
  <cp:lastModifiedBy/>
  <cp:lastPrinted>2020-07-23T02:38:00Z</cp:lastPrinted>
  <dcterms:modified xsi:type="dcterms:W3CDTF">2020-10-01T15:17:42Z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