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drawing>
          <wp:inline distT="0" distB="0" distL="0" distR="0">
            <wp:extent cx="530225" cy="68389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0225" cy="683895"/>
                    </a:xfrm>
                    <a:prstGeom prst="rect">
                      <a:avLst/>
                    </a:prstGeom>
                  </pic:spPr>
                </pic:pic>
              </a:graphicData>
            </a:graphic>
          </wp:inline>
        </w:drawing>
      </w:r>
    </w:p>
    <w:p>
      <w:pPr>
        <w:pStyle w:val="Normal"/>
        <w:bidi w:val="0"/>
        <w:jc w:val="center"/>
        <w:rPr/>
      </w:pPr>
      <w:r>
        <w:rPr/>
      </w:r>
    </w:p>
    <w:p>
      <w:pPr>
        <w:pStyle w:val="Normal"/>
        <w:bidi w:val="0"/>
        <w:jc w:val="center"/>
        <w:rPr/>
      </w:pPr>
      <w:r>
        <w:rPr/>
        <w:t>АДМИНИСТРАЦИЯ ДАЛЬНЕРЕЧЕНСКОГО МУНИЦИПАЛЬНОГО РАЙОНА</w:t>
      </w:r>
    </w:p>
    <w:p>
      <w:pPr>
        <w:pStyle w:val="Normal"/>
        <w:bidi w:val="0"/>
        <w:jc w:val="center"/>
        <w:rPr/>
      </w:pPr>
      <w:r>
        <w:rPr/>
        <w:t>ПРИМОРСКОГО КРАЯ</w:t>
      </w:r>
    </w:p>
    <w:p>
      <w:pPr>
        <w:pStyle w:val="Normal"/>
        <w:bidi w:val="0"/>
        <w:jc w:val="center"/>
        <w:rPr/>
      </w:pPr>
      <w:r>
        <w:rPr/>
      </w:r>
    </w:p>
    <w:p>
      <w:pPr>
        <w:pStyle w:val="Normal"/>
        <w:bidi w:val="0"/>
        <w:jc w:val="center"/>
        <w:rPr>
          <w:b/>
          <w:b/>
          <w:sz w:val="28"/>
          <w:szCs w:val="28"/>
        </w:rPr>
      </w:pPr>
      <w:r>
        <w:rPr>
          <w:b/>
          <w:sz w:val="28"/>
          <w:szCs w:val="28"/>
        </w:rPr>
        <w:t>КОМИССИЯ ПО ДЕЛАМ НЕСОВЕРШЕННОЛЕТНИХ</w:t>
      </w:r>
    </w:p>
    <w:p>
      <w:pPr>
        <w:pStyle w:val="Normal"/>
        <w:bidi w:val="0"/>
        <w:jc w:val="center"/>
        <w:rPr>
          <w:b/>
          <w:b/>
          <w:sz w:val="28"/>
          <w:szCs w:val="28"/>
        </w:rPr>
      </w:pPr>
      <w:r>
        <w:rPr>
          <w:b/>
          <w:sz w:val="28"/>
          <w:szCs w:val="28"/>
        </w:rPr>
        <w:t xml:space="preserve"> </w:t>
      </w:r>
      <w:r>
        <w:rPr>
          <w:b/>
          <w:sz w:val="28"/>
          <w:szCs w:val="28"/>
        </w:rPr>
        <w:t>И ЗАЩИТЕ ИХ ПРАВ</w:t>
      </w:r>
    </w:p>
    <w:p>
      <w:pPr>
        <w:pStyle w:val="Normal"/>
        <w:bidi w:val="0"/>
        <w:jc w:val="center"/>
        <w:rPr>
          <w:sz w:val="20"/>
          <w:szCs w:val="20"/>
        </w:rPr>
      </w:pPr>
      <w:r>
        <w:rPr>
          <w:sz w:val="20"/>
          <w:szCs w:val="20"/>
        </w:rPr>
        <w:t>ул. Ленина, 90, г.Дальнереченск, 692100, тел. (факс): (356) 25-8-52</w:t>
      </w:r>
    </w:p>
    <w:p>
      <w:pPr>
        <w:pStyle w:val="Normal"/>
        <w:bidi w:val="0"/>
        <w:jc w:val="both"/>
        <w:rPr>
          <w:b/>
          <w:b/>
        </w:rPr>
      </w:pPr>
      <w:r>
        <w:rPr>
          <w:b/>
        </w:rPr>
        <w:t>_____________________________________________________________________________</w:t>
      </w:r>
    </w:p>
    <w:p>
      <w:pPr>
        <w:pStyle w:val="Normal"/>
        <w:bidi w:val="0"/>
        <w:jc w:val="center"/>
        <w:rPr>
          <w:b/>
          <w:b/>
          <w:sz w:val="28"/>
          <w:szCs w:val="28"/>
        </w:rPr>
      </w:pPr>
      <w:r>
        <w:rPr>
          <w:b/>
          <w:sz w:val="28"/>
          <w:szCs w:val="28"/>
        </w:rPr>
      </w:r>
    </w:p>
    <w:p>
      <w:pPr>
        <w:pStyle w:val="Normal"/>
        <w:bidi w:val="0"/>
        <w:jc w:val="center"/>
        <w:rPr>
          <w:b/>
          <w:b/>
          <w:sz w:val="28"/>
          <w:szCs w:val="28"/>
        </w:rPr>
      </w:pPr>
      <w:r>
        <w:rPr>
          <w:b/>
          <w:sz w:val="28"/>
          <w:szCs w:val="28"/>
        </w:rPr>
      </w:r>
    </w:p>
    <w:p>
      <w:pPr>
        <w:pStyle w:val="Normal"/>
        <w:bidi w:val="0"/>
        <w:jc w:val="center"/>
        <w:rPr/>
      </w:pPr>
      <w:r>
        <w:rPr>
          <w:b/>
          <w:sz w:val="28"/>
          <w:szCs w:val="28"/>
        </w:rPr>
        <w:t>ПОСТАНОВЛЕНИЕ №</w:t>
      </w:r>
      <w:r>
        <w:rPr>
          <w:b/>
          <w:sz w:val="28"/>
          <w:szCs w:val="28"/>
        </w:rPr>
        <w:t>4</w:t>
      </w:r>
      <w:r>
        <w:rPr>
          <w:b/>
          <w:sz w:val="28"/>
          <w:szCs w:val="28"/>
        </w:rPr>
        <w:t>/</w:t>
      </w:r>
      <w:r>
        <w:rPr>
          <w:b/>
          <w:sz w:val="28"/>
          <w:szCs w:val="28"/>
        </w:rPr>
        <w:t>2</w:t>
      </w:r>
    </w:p>
    <w:p>
      <w:pPr>
        <w:pStyle w:val="Normal"/>
        <w:bidi w:val="0"/>
        <w:jc w:val="center"/>
        <w:rPr>
          <w:sz w:val="20"/>
          <w:szCs w:val="20"/>
        </w:rPr>
      </w:pPr>
      <w:r>
        <w:rPr>
          <w:sz w:val="20"/>
          <w:szCs w:val="20"/>
        </w:rPr>
      </w:r>
    </w:p>
    <w:p>
      <w:pPr>
        <w:pStyle w:val="Normal"/>
        <w:bidi w:val="0"/>
        <w:jc w:val="left"/>
        <w:rPr/>
      </w:pPr>
      <w:r>
        <w:rPr/>
        <w:t>«</w:t>
      </w:r>
      <w:r>
        <w:rPr/>
        <w:t>28</w:t>
      </w:r>
      <w:r>
        <w:rPr/>
        <w:t xml:space="preserve">» </w:t>
      </w:r>
      <w:r>
        <w:rPr/>
        <w:t>января</w:t>
      </w:r>
      <w:r>
        <w:rPr/>
        <w:t xml:space="preserve"> 202</w:t>
      </w:r>
      <w:r>
        <w:rPr/>
        <w:t>1</w:t>
      </w:r>
      <w:r>
        <w:rPr/>
        <w:t>г.                                                                                         г. Дальнереченск</w:t>
      </w:r>
    </w:p>
    <w:p>
      <w:pPr>
        <w:pStyle w:val="Normal"/>
        <w:bidi w:val="0"/>
        <w:jc w:val="left"/>
        <w:rPr/>
      </w:pPr>
      <w:r>
        <w:rPr/>
      </w:r>
    </w:p>
    <w:p>
      <w:pPr>
        <w:pStyle w:val="Normal"/>
        <w:bidi w:val="0"/>
        <w:jc w:val="left"/>
        <w:rPr/>
      </w:pPr>
      <w:r>
        <w:rPr/>
      </w:r>
    </w:p>
    <w:p>
      <w:pPr>
        <w:pStyle w:val="Normal"/>
        <w:tabs>
          <w:tab w:val="clear" w:pos="709"/>
          <w:tab w:val="left" w:pos="-142" w:leader="none"/>
        </w:tabs>
        <w:bidi w:val="0"/>
        <w:jc w:val="both"/>
        <w:rPr>
          <w:sz w:val="20"/>
          <w:szCs w:val="20"/>
        </w:rPr>
      </w:pPr>
      <w:r>
        <w:rPr>
          <w:sz w:val="20"/>
          <w:szCs w:val="20"/>
        </w:rPr>
      </w:r>
    </w:p>
    <w:p>
      <w:pPr>
        <w:pStyle w:val="Normal"/>
        <w:bidi w:val="0"/>
        <w:jc w:val="center"/>
        <w:rPr>
          <w:rFonts w:ascii="Times New Roman" w:hAnsi="Times New Roman"/>
          <w:b/>
          <w:b/>
          <w:bCs/>
          <w:sz w:val="28"/>
          <w:szCs w:val="28"/>
        </w:rPr>
      </w:pPr>
      <w:r>
        <w:rPr>
          <w:rFonts w:ascii="Times New Roman" w:hAnsi="Times New Roman"/>
          <w:b/>
          <w:bCs/>
          <w:sz w:val="28"/>
          <w:szCs w:val="28"/>
        </w:rPr>
        <w:t>«</w:t>
      </w:r>
      <w:r>
        <w:rPr>
          <w:rFonts w:eastAsia="Times New Roman" w:ascii="Times New Roman" w:hAnsi="Times New Roman"/>
          <w:b/>
          <w:bCs/>
          <w:sz w:val="28"/>
          <w:szCs w:val="28"/>
          <w:lang w:val="ru-RU" w:eastAsia="ru-RU"/>
        </w:rPr>
        <w:t xml:space="preserve">Применение ст.77 Семейного кодекса РФ по </w:t>
      </w:r>
      <w:r>
        <w:rPr>
          <w:rFonts w:eastAsia="NSimSun" w:cs="Mangal" w:ascii="Times New Roman" w:hAnsi="Times New Roman"/>
          <w:b/>
          <w:bCs/>
          <w:color w:val="auto"/>
          <w:kern w:val="2"/>
          <w:sz w:val="28"/>
          <w:szCs w:val="28"/>
          <w:lang w:val="ru-RU" w:eastAsia="zh-CN" w:bidi="hi-IN"/>
        </w:rPr>
        <w:t>отобранию</w:t>
      </w:r>
      <w:r>
        <w:rPr>
          <w:rFonts w:eastAsia="Times New Roman" w:ascii="Times New Roman" w:hAnsi="Times New Roman"/>
          <w:b/>
          <w:bCs/>
          <w:sz w:val="28"/>
          <w:szCs w:val="28"/>
          <w:lang w:val="ru-RU" w:eastAsia="ru-RU"/>
        </w:rPr>
        <w:t xml:space="preserve"> несовершеннолетних из семей при непосредственной угрозе их жизни или здоровью органами и учреждениями системы профилактики</w:t>
      </w:r>
      <w:r>
        <w:rPr>
          <w:rFonts w:eastAsia="Calibri" w:ascii="Times New Roman" w:hAnsi="Times New Roman"/>
          <w:b/>
          <w:bCs/>
          <w:sz w:val="28"/>
          <w:szCs w:val="28"/>
          <w:lang w:eastAsia="en-US"/>
        </w:rPr>
        <w:t>»</w:t>
      </w:r>
    </w:p>
    <w:p>
      <w:pPr>
        <w:pStyle w:val="Normal"/>
        <w:tabs>
          <w:tab w:val="clear" w:pos="709"/>
          <w:tab w:val="left" w:pos="-142" w:leader="none"/>
        </w:tabs>
        <w:bidi w:val="0"/>
        <w:jc w:val="both"/>
        <w:rPr>
          <w:rFonts w:ascii="Times New Roman" w:hAnsi="Times New Roman"/>
          <w:b/>
          <w:b/>
          <w:bCs/>
          <w:sz w:val="28"/>
          <w:szCs w:val="28"/>
        </w:rPr>
      </w:pPr>
      <w:r>
        <w:rPr>
          <w:rFonts w:ascii="Times New Roman" w:hAnsi="Times New Roman"/>
          <w:b/>
          <w:bCs/>
          <w:sz w:val="28"/>
          <w:szCs w:val="28"/>
        </w:rPr>
      </w:r>
    </w:p>
    <w:p>
      <w:pPr>
        <w:pStyle w:val="Normal"/>
        <w:bidi w:val="0"/>
        <w:jc w:val="both"/>
        <w:rPr/>
      </w:pPr>
      <w:r>
        <w:rPr>
          <w:sz w:val="22"/>
          <w:szCs w:val="22"/>
        </w:rPr>
        <w:tab/>
      </w:r>
      <w:r>
        <w:rPr>
          <w:rFonts w:ascii="Times New Roman" w:hAnsi="Times New Roman"/>
          <w:sz w:val="20"/>
          <w:szCs w:val="20"/>
        </w:rPr>
        <w:t>Заслушав и обсудив информацию по вопросу «</w:t>
      </w:r>
      <w:r>
        <w:rPr>
          <w:rFonts w:eastAsia="Times New Roman" w:ascii="Times New Roman" w:hAnsi="Times New Roman"/>
          <w:b w:val="false"/>
          <w:bCs w:val="false"/>
          <w:sz w:val="20"/>
          <w:szCs w:val="20"/>
          <w:lang w:val="ru-RU" w:eastAsia="ru-RU"/>
        </w:rPr>
        <w:t xml:space="preserve">Применение ст.77 Семейного кодекса РФ по </w:t>
      </w:r>
      <w:r>
        <w:rPr>
          <w:rFonts w:eastAsia="NSimSun" w:cs="Mangal" w:ascii="Times New Roman" w:hAnsi="Times New Roman"/>
          <w:b w:val="false"/>
          <w:bCs w:val="false"/>
          <w:color w:val="auto"/>
          <w:kern w:val="2"/>
          <w:sz w:val="20"/>
          <w:szCs w:val="20"/>
          <w:lang w:val="ru-RU" w:eastAsia="zh-CN" w:bidi="hi-IN"/>
        </w:rPr>
        <w:t>отобранию</w:t>
      </w:r>
      <w:r>
        <w:rPr>
          <w:rFonts w:eastAsia="Times New Roman" w:ascii="Times New Roman" w:hAnsi="Times New Roman"/>
          <w:b w:val="false"/>
          <w:bCs w:val="false"/>
          <w:sz w:val="20"/>
          <w:szCs w:val="20"/>
          <w:lang w:val="ru-RU" w:eastAsia="ru-RU"/>
        </w:rPr>
        <w:t xml:space="preserve"> несовершеннолетних из семей при непосредственной угрозе их жизни или здоровью органами и учреждениями системы профилактики</w:t>
      </w:r>
      <w:r>
        <w:rPr>
          <w:rFonts w:eastAsia="Calibri" w:ascii="Times New Roman" w:hAnsi="Times New Roman"/>
          <w:sz w:val="20"/>
          <w:szCs w:val="20"/>
          <w:lang w:eastAsia="en-US"/>
        </w:rPr>
        <w:t xml:space="preserve">», </w:t>
      </w:r>
      <w:r>
        <w:rPr>
          <w:rFonts w:eastAsia="Calibri" w:ascii="Times New Roman" w:hAnsi="Times New Roman"/>
          <w:sz w:val="20"/>
          <w:szCs w:val="20"/>
          <w:lang w:eastAsia="en-US"/>
        </w:rPr>
        <w:t>установлено</w:t>
      </w:r>
      <w:r>
        <w:rPr>
          <w:rFonts w:eastAsia="Calibri" w:ascii="Times New Roman" w:hAnsi="Times New Roman"/>
          <w:sz w:val="20"/>
          <w:szCs w:val="20"/>
          <w:lang w:eastAsia="en-US"/>
        </w:rPr>
        <w:t xml:space="preserve"> следующее:</w:t>
      </w:r>
    </w:p>
    <w:p>
      <w:pPr>
        <w:pStyle w:val="Normal"/>
        <w:tabs>
          <w:tab w:val="clear" w:pos="709"/>
          <w:tab w:val="left" w:pos="-142" w:leader="none"/>
        </w:tabs>
        <w:bidi w:val="0"/>
        <w:spacing w:lineRule="auto" w:line="240"/>
        <w:ind w:left="0" w:right="0" w:hanging="0"/>
        <w:jc w:val="both"/>
        <w:rPr>
          <w:rFonts w:ascii="Times New Roman" w:hAnsi="Times New Roman"/>
          <w:sz w:val="20"/>
          <w:szCs w:val="20"/>
          <w:lang w:val="ru-RU"/>
        </w:rPr>
      </w:pPr>
      <w:r>
        <w:rPr>
          <w:rFonts w:ascii="Times New Roman" w:hAnsi="Times New Roman"/>
          <w:sz w:val="20"/>
          <w:szCs w:val="20"/>
          <w:lang w:val="ru-RU"/>
        </w:rPr>
        <w:tab/>
        <w:t xml:space="preserve">Законом Приморского края от 30.09.2019 № 572-КЗ «О наделении органов местного самоуправления муниципальных районов, городских и муниципальных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(далее - Закон № 572-КЗ) с 01.01.2020 года органы местного самоуправления наделены государственными полномочиями органов опеки и попечительства, в том числе по немедленному отобранию ребенка у родителей (одного из них) или других лиц, на попечении которых он находится, при непосредственной угрозе жизни ребенка или его здоровью, а также участию в принудительном исполнении решений, связанных с отобранием ребенка и передачей его другому лицу (п.24 ч.3 ст.2 Закона № 572-КЗ). </w:t>
      </w:r>
    </w:p>
    <w:p>
      <w:pPr>
        <w:pStyle w:val="Style15"/>
        <w:bidi w:val="0"/>
        <w:spacing w:lineRule="auto" w:line="240" w:before="0" w:after="0"/>
        <w:jc w:val="both"/>
        <w:rPr>
          <w:rFonts w:ascii="Times New Roman" w:hAnsi="Times New Roman"/>
          <w:sz w:val="20"/>
          <w:szCs w:val="20"/>
        </w:rPr>
      </w:pPr>
      <w:r>
        <w:rPr>
          <w:rFonts w:ascii="Times New Roman" w:hAnsi="Times New Roman"/>
          <w:sz w:val="20"/>
          <w:szCs w:val="20"/>
        </w:rPr>
        <w:tab/>
        <w:t xml:space="preserve">Статья 77 Семейного кодекса Российской Федерации (далее – СК РФ) регулирует вопросы отобрания детей у родителей и наделяет органы опеки и попечительства полномочиями по немедленному отобранию детей у родителей (одного из них) или у других лиц, на попечении которых они находятся, при непосредственной угрозе их жизни или здоровью. </w:t>
      </w:r>
    </w:p>
    <w:p>
      <w:pPr>
        <w:pStyle w:val="Style15"/>
        <w:bidi w:val="0"/>
        <w:spacing w:lineRule="auto" w:line="240" w:before="0" w:after="0"/>
        <w:jc w:val="both"/>
        <w:rPr>
          <w:rFonts w:ascii="Times New Roman" w:hAnsi="Times New Roman"/>
          <w:sz w:val="20"/>
          <w:szCs w:val="20"/>
        </w:rPr>
      </w:pPr>
      <w:r>
        <w:rPr>
          <w:rFonts w:ascii="Times New Roman" w:hAnsi="Times New Roman"/>
          <w:sz w:val="20"/>
          <w:szCs w:val="20"/>
        </w:rPr>
        <w:tab/>
        <w:t xml:space="preserve">Немедленное отобрание ребенка является административной процедурой, и производится органом опеки и попечительства во внесудебном порядке. При этом следует применять данную меру только в исключительных случаях, не терпящих отлагательств, в связи с угрозой жизни или здоровью ребенка. Под непосредственной угрозой жизни или здоровью ребенка следует понимать угрозу, с очевидностью свидетельствующую о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либо иных лиц, на попечении которых ребенок находится. Указанные последствия могут быть вызваны отсутствием ухода за ребенком, отвечающего его физиологическим потребностям в соответствии с его возрастом и состоянием здоровья (непредоставление еды, воды, крова, неосуществление ухода за грудным ребенком либо оставление его на длительное время без присмотра). Характер и степень опасности должен определяться в каждом конкретном случае с учетом возраста, состояния здоровья ребенка, а также иных обстоятельств.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Немедленное отобрание ребенка у родителей или заменяющих их лиц, производится органом опеки и попечительства на основании соответствующего акта главы муниципального образования Приморского края. Во исполнение ст.9 Федерального закона от 24.06.1999 №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в рамках межведомственного взаимодействия обязаны незамедлительно информировать органы опеки и попечительства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После поступления информации в орган опеки и попечительства муниципального образования Приморского края в письменной или устной форме, по телефону или любым иным способом от граждан и (или) учреждений и от органов системы профилактики безнадзорности и правонарушений несовершеннолетних, в целях проведения проверки сообщения о выявлении ребенка, находящегося в обстановке, представляющей угрозу жизни и здоровью, осуществляется комиссионный выезд по месту фактического пребывания ребенка представителей органов опеки и попечительства, представителей муниципальных комиссий по делам несовершеннолетних и защите их прав, инспектора по делам несовершеннолетних, сотрудников соцзащиты, медицинских работников.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При выезде осуществляется установление личности ребенка, личности и местонахождение его родителей (иных законных представителей), родственников, условий проживания ребенка, выявление причин и условий, создающих угрозу жизни и здоровью ребенка. На основании объективных данных принимается решение о незамедлительном отобрании ребенка у родителей на основании коллегиального акта органов опеки и попечительства, КДНиЗП, соцзащиты и органа внутренних дел.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Решение о незамедлительном отобрании ребенка у родителей оформляется актом органа местного самоуправления в соответствии со ст.77 Семейного кодекса Российской Федерации. В случае принятия решения об отобрании орган опеки обязан обеспечить временное устройство ребенка и в течение семи дней после принятия акта об отобрании ребенка обратиться в суд с иском о лишении родителей родительских прав или об ограничении их родительских прав. Ребенок может быть помещен как в специализированное учреждение для несовершеннолетних, нуждающихся в социальной реабилитации, так и в медицинскую организацию (при необходимости). О данном решении незамедлительно уведомляется прокурор. Решение об отобрании, вынесенное органом местного самоуправления, может быть обжаловано родителями (законными представителями) в судебном порядке.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Немедленное отобрание в рамках ст. 77 СК РФ является исключительной мерой защиты прав ребенка, и ее применение требует усиления профилактических мер в случаях, когда действиями или бездействием родителей создаются условия, представляющие угрозу жизни или здоровью детей либо препятствующие их нормальному воспитанию и развитию.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В 2019-2020 году на территории муниципального образования вышеуказанная статья закона не применялась. </w:t>
      </w:r>
    </w:p>
    <w:p>
      <w:pPr>
        <w:pStyle w:val="Normal"/>
        <w:shd w:fill="FFFFFF" w:val="clear"/>
        <w:bidi w:val="0"/>
        <w:spacing w:lineRule="auto" w:line="276" w:before="0" w:after="0"/>
        <w:ind w:left="0" w:right="-170" w:firstLine="567"/>
        <w:jc w:val="both"/>
        <w:rPr>
          <w:rFonts w:ascii="Times New Roman" w:hAnsi="Times New Roman"/>
          <w:sz w:val="20"/>
          <w:szCs w:val="20"/>
        </w:rPr>
      </w:pPr>
      <w:r>
        <w:rPr>
          <w:rFonts w:ascii="Times New Roman" w:hAnsi="Times New Roman"/>
          <w:sz w:val="20"/>
          <w:szCs w:val="20"/>
        </w:rPr>
        <w:t>На основании вышеизложенного, комиссия</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r>
    </w:p>
    <w:p>
      <w:pPr>
        <w:pStyle w:val="ListParagraph"/>
        <w:tabs>
          <w:tab w:val="clear" w:pos="709"/>
          <w:tab w:val="left" w:pos="-142" w:leader="none"/>
        </w:tabs>
        <w:bidi w:val="0"/>
        <w:spacing w:lineRule="auto" w:line="240"/>
        <w:ind w:left="0" w:right="0" w:hanging="0"/>
        <w:jc w:val="both"/>
        <w:rPr>
          <w:rFonts w:ascii="Times New Roman" w:hAnsi="Times New Roman"/>
          <w:b/>
          <w:b/>
          <w:bCs/>
          <w:sz w:val="20"/>
          <w:szCs w:val="20"/>
          <w:lang w:val="ru-RU"/>
        </w:rPr>
      </w:pPr>
      <w:r>
        <w:rPr>
          <w:rFonts w:ascii="Times New Roman" w:hAnsi="Times New Roman"/>
          <w:b/>
          <w:bCs/>
          <w:sz w:val="20"/>
          <w:szCs w:val="20"/>
          <w:lang w:val="ru-RU"/>
        </w:rPr>
        <w:t>ПОСТАНОВИЛА:</w:t>
      </w:r>
    </w:p>
    <w:p>
      <w:pPr>
        <w:pStyle w:val="ListParagraph"/>
        <w:tabs>
          <w:tab w:val="clear" w:pos="709"/>
          <w:tab w:val="left" w:pos="-142" w:leader="none"/>
        </w:tabs>
        <w:bidi w:val="0"/>
        <w:spacing w:lineRule="auto" w:line="240"/>
        <w:ind w:left="0" w:right="0" w:hanging="0"/>
        <w:jc w:val="both"/>
        <w:rPr>
          <w:rFonts w:ascii="Times New Roman" w:hAnsi="Times New Roman"/>
          <w:b/>
          <w:b/>
          <w:bCs/>
          <w:sz w:val="20"/>
          <w:szCs w:val="20"/>
          <w:lang w:val="ru-RU"/>
        </w:rPr>
      </w:pPr>
      <w:r>
        <w:rPr>
          <w:rFonts w:ascii="Times New Roman" w:hAnsi="Times New Roman"/>
          <w:b/>
          <w:bCs/>
          <w:sz w:val="20"/>
          <w:szCs w:val="20"/>
          <w:lang w:val="ru-RU"/>
        </w:rPr>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ascii="Times New Roman" w:hAnsi="Times New Roman"/>
          <w:sz w:val="20"/>
          <w:szCs w:val="20"/>
          <w:lang w:val="ru-RU"/>
        </w:rPr>
        <w:tab/>
        <w:t xml:space="preserve">1. Информацию начальника отдела опеки администрации Дальнереченского муниципального района о </w:t>
      </w:r>
      <w:r>
        <w:rPr>
          <w:rFonts w:eastAsia="Times New Roman" w:ascii="Times New Roman" w:hAnsi="Times New Roman"/>
          <w:b w:val="false"/>
          <w:bCs w:val="false"/>
          <w:sz w:val="20"/>
          <w:szCs w:val="20"/>
          <w:lang w:val="ru-RU" w:eastAsia="ru-RU"/>
        </w:rPr>
        <w:t xml:space="preserve">Применение ст.77 Семейного кодекса РФ по </w:t>
      </w:r>
      <w:r>
        <w:rPr>
          <w:rFonts w:eastAsia="NSimSun" w:cs="Mangal" w:ascii="Times New Roman" w:hAnsi="Times New Roman"/>
          <w:b w:val="false"/>
          <w:bCs w:val="false"/>
          <w:color w:val="auto"/>
          <w:kern w:val="2"/>
          <w:sz w:val="20"/>
          <w:szCs w:val="20"/>
          <w:lang w:val="ru-RU" w:eastAsia="zh-CN" w:bidi="hi-IN"/>
        </w:rPr>
        <w:t>отобранию</w:t>
      </w:r>
      <w:r>
        <w:rPr>
          <w:rFonts w:eastAsia="Times New Roman" w:ascii="Times New Roman" w:hAnsi="Times New Roman"/>
          <w:b w:val="false"/>
          <w:bCs w:val="false"/>
          <w:sz w:val="20"/>
          <w:szCs w:val="20"/>
          <w:lang w:val="ru-RU" w:eastAsia="ru-RU"/>
        </w:rPr>
        <w:t xml:space="preserve"> несовершеннолетних из семей при непосредственной угрозе их жизни или здоровью органами и учреждениями системы профилактики принять к сведению.</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ab/>
        <w:t>2. У</w:t>
      </w:r>
      <w:r>
        <w:rPr>
          <w:rFonts w:ascii="Times New Roman" w:hAnsi="Times New Roman"/>
          <w:b w:val="false"/>
          <w:bCs w:val="false"/>
          <w:sz w:val="20"/>
          <w:szCs w:val="20"/>
          <w:lang w:val="ru-RU" w:eastAsia="en-US"/>
        </w:rPr>
        <w:t xml:space="preserve">твердить План мероприятий («дорожную карту») </w:t>
      </w:r>
      <w:r>
        <w:rPr>
          <w:rFonts w:eastAsia="Times New Roman" w:ascii="Times New Roman" w:hAnsi="Times New Roman"/>
          <w:b w:val="false"/>
          <w:bCs w:val="false"/>
          <w:sz w:val="20"/>
          <w:szCs w:val="20"/>
          <w:lang w:val="ru-RU" w:eastAsia="ru-RU"/>
        </w:rPr>
        <w:t>на 2021 – 2023 годы по профилактике социального сиротства, направленный на сохранение кровной семьи</w:t>
      </w:r>
      <w:r>
        <w:rPr>
          <w:rFonts w:eastAsia="Times New Roman" w:ascii="Times New Roman" w:hAnsi="Times New Roman"/>
          <w:b/>
          <w:bCs w:val="false"/>
          <w:sz w:val="20"/>
          <w:szCs w:val="20"/>
          <w:lang w:val="ru-RU" w:eastAsia="ru-RU"/>
        </w:rPr>
        <w:t xml:space="preserve"> </w:t>
      </w:r>
      <w:r>
        <w:rPr>
          <w:rFonts w:eastAsia="Times New Roman" w:ascii="Times New Roman" w:hAnsi="Times New Roman"/>
          <w:b w:val="false"/>
          <w:bCs w:val="false"/>
          <w:sz w:val="20"/>
          <w:szCs w:val="20"/>
          <w:lang w:val="ru-RU" w:eastAsia="ru-RU"/>
        </w:rPr>
        <w:t xml:space="preserve">на территории Дальнереченского муниципального района </w:t>
      </w:r>
      <w:r>
        <w:rPr>
          <w:rFonts w:eastAsia="Times New Roman" w:ascii="Times New Roman" w:hAnsi="Times New Roman"/>
          <w:b w:val="false"/>
          <w:bCs w:val="false"/>
          <w:sz w:val="20"/>
          <w:szCs w:val="20"/>
          <w:lang w:val="ru-RU" w:eastAsia="ru-RU"/>
        </w:rPr>
        <w:t>(Приложение №1)</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ab/>
        <w:t xml:space="preserve">3. </w:t>
      </w:r>
      <w:r>
        <w:rPr>
          <w:rFonts w:ascii="Times New Roman" w:hAnsi="Times New Roman"/>
          <w:sz w:val="20"/>
          <w:szCs w:val="20"/>
          <w:lang w:eastAsia="en-US"/>
        </w:rPr>
        <w:t>Руководителям</w:t>
      </w:r>
      <w:r>
        <w:rPr>
          <w:rFonts w:ascii="Times New Roman" w:hAnsi="Times New Roman"/>
          <w:sz w:val="20"/>
          <w:szCs w:val="20"/>
        </w:rPr>
        <w:t xml:space="preserve"> органов и учреждений системы профилактики безнадзорности и правонарушений несовершеннолетних, осуществляющих свою деятельность на территории Дальнереченского муниципального района</w:t>
      </w:r>
      <w:r>
        <w:rPr>
          <w:rFonts w:ascii="Times New Roman" w:hAnsi="Times New Roman"/>
          <w:sz w:val="20"/>
          <w:szCs w:val="20"/>
          <w:lang w:eastAsia="en-US"/>
        </w:rPr>
        <w:t xml:space="preserve"> </w:t>
      </w:r>
      <w:r>
        <w:rPr>
          <w:rFonts w:ascii="Times New Roman" w:hAnsi="Times New Roman"/>
          <w:sz w:val="20"/>
          <w:szCs w:val="20"/>
        </w:rPr>
        <w:t xml:space="preserve"> </w:t>
      </w:r>
      <w:r>
        <w:rPr>
          <w:rFonts w:ascii="Times New Roman" w:hAnsi="Times New Roman"/>
          <w:sz w:val="20"/>
          <w:szCs w:val="20"/>
          <w:lang w:eastAsia="en-US"/>
        </w:rPr>
        <w:t>обеспечить реализацию плана мероприятий согласно установленным срокам.</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ascii="Times New Roman" w:hAnsi="Times New Roman"/>
          <w:b w:val="false"/>
          <w:bCs w:val="false"/>
          <w:sz w:val="20"/>
          <w:szCs w:val="20"/>
          <w:lang w:val="ru-RU" w:eastAsia="en-US"/>
        </w:rPr>
        <w:tab/>
        <w:t xml:space="preserve">4. Итоги реализации плана мероприятий по результатам работы заслушивать на заседаниях КДНиЗП. </w:t>
      </w:r>
      <w:r>
        <w:rPr>
          <w:rFonts w:ascii="Times New Roman" w:hAnsi="Times New Roman"/>
          <w:b/>
          <w:bCs/>
          <w:sz w:val="20"/>
          <w:szCs w:val="20"/>
          <w:lang w:val="ru-RU" w:eastAsia="en-US"/>
        </w:rPr>
        <w:t>СРОК: по итогам каждого года.</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ascii="Times New Roman" w:hAnsi="Times New Roman"/>
          <w:b w:val="false"/>
          <w:bCs w:val="false"/>
          <w:sz w:val="20"/>
          <w:szCs w:val="20"/>
          <w:lang w:val="ru-RU" w:eastAsia="en-US"/>
        </w:rPr>
        <w:tab/>
        <w:t>5.</w:t>
      </w:r>
      <w:r>
        <w:rPr>
          <w:rFonts w:ascii="Times New Roman" w:hAnsi="Times New Roman"/>
          <w:b/>
          <w:bCs/>
          <w:sz w:val="20"/>
          <w:szCs w:val="20"/>
          <w:lang w:val="ru-RU" w:eastAsia="en-US"/>
        </w:rPr>
        <w:t xml:space="preserve"> </w:t>
      </w:r>
      <w:r>
        <w:rPr>
          <w:rFonts w:ascii="Times New Roman" w:hAnsi="Times New Roman"/>
          <w:b w:val="false"/>
          <w:bCs w:val="false"/>
          <w:sz w:val="20"/>
          <w:szCs w:val="20"/>
          <w:lang w:val="ru-RU" w:eastAsia="en-US"/>
        </w:rPr>
        <w:t>Руководителям: начальнику МО МВД России «Дальнереченский» (Максимов И.Г.), г</w:t>
      </w:r>
      <w:r>
        <w:rPr>
          <w:rFonts w:eastAsia="Times New Roman" w:ascii="Times New Roman" w:hAnsi="Times New Roman"/>
          <w:b w:val="false"/>
          <w:bCs w:val="false"/>
          <w:sz w:val="20"/>
          <w:szCs w:val="20"/>
          <w:lang w:val="ru-RU" w:eastAsia="ru-RU"/>
        </w:rPr>
        <w:t>лавному врачу КГБУЗ «Дальнереченская ЦГБ» (</w:t>
      </w:r>
      <w:r>
        <w:rPr>
          <w:rFonts w:eastAsia="Times New Roman" w:cs="Times New Roman" w:ascii="Times New Roman" w:hAnsi="Times New Roman"/>
          <w:b w:val="false"/>
          <w:bCs w:val="false"/>
          <w:sz w:val="20"/>
          <w:szCs w:val="20"/>
          <w:lang w:val="ru-RU" w:eastAsia="ru-RU"/>
        </w:rPr>
        <w:t>Мизюк А.А.), директору  КГБУСО «Дальнереченский СРНЦ «Надежда» (Павленко С.А.), начальнику  отделения по Дальнереченскому    городскому округу  и Дальнереченскому муниципальному району КГКУ (ЦСПН) ПК (Шевченко О.В.), директору МКУ «УНО» (Гуцалюк Н.В.):</w:t>
      </w:r>
      <w:r>
        <w:rPr>
          <w:rFonts w:eastAsia="Times New Roman" w:cs="Times New Roman" w:ascii="Times New Roman" w:hAnsi="Times New Roman"/>
          <w:b w:val="false"/>
          <w:bCs w:val="false"/>
          <w:sz w:val="20"/>
          <w:szCs w:val="20"/>
          <w:lang w:val="ru-RU" w:eastAsia="ru-RU"/>
        </w:rPr>
        <w:t xml:space="preserve">от </w:t>
      </w:r>
    </w:p>
    <w:p>
      <w:pPr>
        <w:pStyle w:val="ListParagraph"/>
        <w:tabs>
          <w:tab w:val="clear" w:pos="709"/>
          <w:tab w:val="left" w:pos="-142" w:leader="none"/>
        </w:tabs>
        <w:bidi w:val="0"/>
        <w:spacing w:lineRule="auto" w:line="240"/>
        <w:ind w:left="0" w:right="0" w:hanging="0"/>
        <w:jc w:val="both"/>
        <w:rPr>
          <w:rFonts w:ascii="Times New Roman" w:hAnsi="Times New Roman" w:cs="Times New Roman"/>
          <w:b w:val="false"/>
          <w:b w:val="false"/>
          <w:bCs w:val="false"/>
          <w:sz w:val="20"/>
          <w:szCs w:val="20"/>
          <w:lang w:val="ru-RU" w:eastAsia="en-US"/>
        </w:rPr>
      </w:pPr>
      <w:r>
        <w:rPr>
          <w:rFonts w:cs="Times New Roman" w:ascii="Times New Roman" w:hAnsi="Times New Roman"/>
          <w:b w:val="false"/>
          <w:bCs w:val="false"/>
          <w:sz w:val="20"/>
          <w:szCs w:val="20"/>
          <w:lang w:val="ru-RU" w:eastAsia="en-US"/>
        </w:rPr>
        <w:tab/>
        <w:t>5.4. в целях предупреждения детского травматизма на объектах транспорта и гибели несовершеннолетних от неистественных причин, распространить информацию о мобильном приложении МЧС России «Обезопасьте себя и свою семью» среди семей СОП, семей находящихся в трудной жизненной ситуации, многодетных семей, опекаемых семей,  в образовательных учреждениях</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cs="Times New Roman" w:ascii="Times New Roman" w:hAnsi="Times New Roman"/>
          <w:b w:val="false"/>
          <w:bCs w:val="false"/>
          <w:sz w:val="20"/>
          <w:szCs w:val="20"/>
          <w:lang w:val="ru-RU" w:eastAsia="en-US"/>
        </w:rPr>
        <w:t xml:space="preserve">(ссылка  в мобильном приложении </w:t>
      </w:r>
      <w:r>
        <w:rPr>
          <w:rFonts w:cs="Times New Roman" w:ascii="Times New Roman" w:hAnsi="Times New Roman"/>
          <w:b/>
          <w:bCs/>
          <w:sz w:val="20"/>
          <w:szCs w:val="20"/>
          <w:lang w:val="en-US" w:eastAsia="en-US"/>
        </w:rPr>
        <w:t>https://play.google.com/store/apps/details?id</w:t>
      </w:r>
      <w:r>
        <w:rPr>
          <w:rFonts w:cs="Times New Roman" w:ascii="Times New Roman" w:hAnsi="Times New Roman"/>
          <w:b/>
          <w:bCs/>
          <w:sz w:val="20"/>
          <w:szCs w:val="20"/>
          <w:lang w:val="ru-RU" w:eastAsia="en-US"/>
        </w:rPr>
        <w:t>=</w:t>
      </w:r>
      <w:r>
        <w:rPr>
          <w:rFonts w:cs="Times New Roman" w:ascii="Times New Roman" w:hAnsi="Times New Roman"/>
          <w:b/>
          <w:bCs/>
          <w:sz w:val="20"/>
          <w:szCs w:val="20"/>
          <w:lang w:val="en-US" w:eastAsia="en-US"/>
        </w:rPr>
        <w:t>io.citizens.security</w:t>
      </w:r>
      <w:r>
        <w:rPr>
          <w:rFonts w:cs="Times New Roman" w:ascii="Times New Roman" w:hAnsi="Times New Roman"/>
          <w:b w:val="false"/>
          <w:bCs w:val="false"/>
          <w:sz w:val="20"/>
          <w:szCs w:val="20"/>
          <w:lang w:val="ru-RU" w:eastAsia="en-US"/>
        </w:rPr>
        <w:t>)</w:t>
      </w:r>
    </w:p>
    <w:p>
      <w:pPr>
        <w:pStyle w:val="ListParagraph"/>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t>СРОК: 1 квартал 2021г.</w:t>
      </w:r>
    </w:p>
    <w:p>
      <w:pPr>
        <w:pStyle w:val="Normal"/>
        <w:bidi w:val="0"/>
        <w:jc w:val="both"/>
        <w:rPr>
          <w:rFonts w:ascii="Times New Roman" w:hAnsi="Times New Roman"/>
          <w:sz w:val="20"/>
          <w:szCs w:val="20"/>
        </w:rPr>
      </w:pPr>
      <w:r>
        <w:rPr>
          <w:rFonts w:ascii="Times New Roman" w:hAnsi="Times New Roman"/>
          <w:sz w:val="20"/>
          <w:szCs w:val="20"/>
        </w:rPr>
        <w:tab/>
        <w:t>6</w:t>
      </w:r>
      <w:r>
        <w:rPr>
          <w:rFonts w:ascii="Times New Roman" w:hAnsi="Times New Roman"/>
          <w:sz w:val="20"/>
          <w:szCs w:val="20"/>
        </w:rPr>
        <w:t>.</w:t>
      </w:r>
      <w:r>
        <w:rPr>
          <w:rFonts w:ascii="Times New Roman" w:hAnsi="Times New Roman"/>
          <w:b/>
          <w:sz w:val="20"/>
          <w:szCs w:val="20"/>
        </w:rPr>
        <w:t xml:space="preserve"> </w:t>
      </w:r>
      <w:r>
        <w:rPr>
          <w:rFonts w:ascii="Times New Roman" w:hAnsi="Times New Roman"/>
          <w:sz w:val="20"/>
          <w:szCs w:val="20"/>
        </w:rPr>
        <w:t>Контроль за выполнением настоящего постановления возложить на ответственного секретаря комиссии по делам несовершеннолетних и защите их прав Демчук М.В.</w:t>
      </w:r>
    </w:p>
    <w:p>
      <w:pPr>
        <w:pStyle w:val="Normal"/>
        <w:bidi w:val="0"/>
        <w:jc w:val="both"/>
        <w:rPr>
          <w:rFonts w:ascii="Times New Roman" w:hAnsi="Times New Roman"/>
          <w:b/>
          <w:b/>
          <w:sz w:val="20"/>
          <w:szCs w:val="20"/>
        </w:rPr>
      </w:pPr>
      <w:r>
        <w:rPr>
          <w:rFonts w:ascii="Times New Roman" w:hAnsi="Times New Roman"/>
          <w:b/>
          <w:sz w:val="20"/>
          <w:szCs w:val="20"/>
        </w:rPr>
      </w:r>
    </w:p>
    <w:p>
      <w:pPr>
        <w:pStyle w:val="Normal"/>
        <w:bidi w:val="0"/>
        <w:jc w:val="both"/>
        <w:rPr>
          <w:rFonts w:ascii="Times New Roman" w:hAnsi="Times New Roman"/>
          <w:b/>
          <w:b/>
          <w:sz w:val="20"/>
          <w:szCs w:val="20"/>
        </w:rPr>
      </w:pPr>
      <w:r>
        <w:rPr>
          <w:rFonts w:ascii="Times New Roman" w:hAnsi="Times New Roman"/>
          <w:b/>
          <w:sz w:val="20"/>
          <w:szCs w:val="20"/>
        </w:rPr>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rFonts w:ascii="Times New Roman" w:hAnsi="Times New Roman"/>
          <w:sz w:val="20"/>
          <w:szCs w:val="20"/>
        </w:rPr>
      </w:pPr>
      <w:r>
        <w:rPr>
          <w:rFonts w:ascii="Times New Roman" w:hAnsi="Times New Roman"/>
          <w:sz w:val="20"/>
          <w:szCs w:val="20"/>
        </w:rPr>
        <w:t xml:space="preserve">Председатель   КДНиЗП                                                                                     </w:t>
      </w:r>
      <w:r>
        <w:rPr>
          <w:rFonts w:ascii="Times New Roman" w:hAnsi="Times New Roman"/>
          <w:sz w:val="20"/>
          <w:szCs w:val="20"/>
        </w:rPr>
        <w:t>А.Г. Попов</w:t>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143000" cy="49212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1143000" cy="492125"/>
                    </a:xfrm>
                    <a:prstGeom prst="rect">
                      <a:avLst/>
                    </a:prstGeom>
                  </pic:spPr>
                </pic:pic>
              </a:graphicData>
            </a:graphic>
          </wp:anchor>
        </w:drawing>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sectPr>
          <w:type w:val="nextPage"/>
          <w:pgSz w:w="11906" w:h="16838"/>
          <w:pgMar w:left="1134" w:right="1134" w:header="0" w:top="1134" w:footer="0" w:bottom="1134" w:gutter="0"/>
          <w:pgNumType w:fmt="decimal"/>
          <w:formProt w:val="false"/>
          <w:textDirection w:val="lrTb"/>
        </w:sectPr>
        <w:pStyle w:val="Normal"/>
        <w:tabs>
          <w:tab w:val="clear" w:pos="709"/>
          <w:tab w:val="left" w:pos="-142" w:leader="none"/>
        </w:tabs>
        <w:bidi w:val="0"/>
        <w:spacing w:lineRule="auto" w:line="240"/>
        <w:ind w:left="0" w:right="0" w:hanging="0"/>
        <w:jc w:val="both"/>
        <w:rPr>
          <w:rFonts w:ascii="Times New Roman" w:hAnsi="Times New Roman" w:cs="Times New Roman"/>
          <w:b/>
          <w:b/>
          <w:bCs/>
          <w:sz w:val="20"/>
          <w:szCs w:val="20"/>
          <w:lang w:val="ru-RU" w:eastAsia="en-US"/>
        </w:rPr>
      </w:pPr>
      <w:r>
        <w:rPr>
          <w:rFonts w:cs="Times New Roman" w:ascii="Times New Roman" w:hAnsi="Times New Roman"/>
          <w:b/>
          <w:bCs/>
          <w:sz w:val="20"/>
          <w:szCs w:val="20"/>
          <w:lang w:val="ru-RU" w:eastAsia="en-US"/>
        </w:rPr>
      </w:r>
    </w:p>
    <w:p>
      <w:pPr>
        <w:pStyle w:val="Normal"/>
        <w:bidi w:val="0"/>
        <w:spacing w:lineRule="auto" w:line="240" w:before="0" w:after="0"/>
        <w:jc w:val="right"/>
        <w:rPr>
          <w:rFonts w:ascii="Times New Roman" w:hAnsi="Times New Roman"/>
          <w:sz w:val="20"/>
          <w:szCs w:val="20"/>
        </w:rPr>
      </w:pPr>
      <w:r>
        <w:rPr>
          <w:rFonts w:cs="Times New Roman" w:ascii="Times New Roman" w:hAnsi="Times New Roman"/>
          <w:sz w:val="20"/>
          <w:szCs w:val="20"/>
        </w:rPr>
        <w:t xml:space="preserve">   </w:t>
      </w:r>
      <w:bookmarkStart w:id="0" w:name="_GoBack"/>
      <w:bookmarkEnd w:id="0"/>
      <w:r>
        <w:rPr>
          <w:rFonts w:cs="Times New Roman" w:ascii="Times New Roman" w:hAnsi="Times New Roman"/>
          <w:sz w:val="20"/>
          <w:szCs w:val="20"/>
        </w:rPr>
        <w:t xml:space="preserve">                         </w:t>
      </w:r>
      <w:r>
        <w:rPr>
          <w:rFonts w:cs="Times New Roman" w:ascii="Times New Roman" w:hAnsi="Times New Roman"/>
          <w:sz w:val="20"/>
          <w:szCs w:val="20"/>
        </w:rPr>
        <w:t>Приложение 1</w:t>
      </w:r>
    </w:p>
    <w:p>
      <w:pPr>
        <w:pStyle w:val="Normal"/>
        <w:bidi w:val="0"/>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bidi w:val="0"/>
        <w:spacing w:lineRule="auto" w:line="240" w:before="0" w:after="0"/>
        <w:jc w:val="center"/>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b/>
          <w:bCs/>
          <w:sz w:val="20"/>
          <w:szCs w:val="20"/>
        </w:rPr>
        <w:t>«УТВЕРЖДЕН»</w:t>
      </w:r>
    </w:p>
    <w:p>
      <w:pPr>
        <w:pStyle w:val="Normal"/>
        <w:bidi w:val="0"/>
        <w:spacing w:lineRule="auto" w:line="240" w:before="0" w:after="0"/>
        <w:ind w:left="5386" w:right="0"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комиссии по делам</w:t>
      </w:r>
    </w:p>
    <w:p>
      <w:pPr>
        <w:pStyle w:val="Normal"/>
        <w:bidi w:val="0"/>
        <w:spacing w:lineRule="auto" w:line="240" w:before="0" w:after="0"/>
        <w:ind w:left="5386" w:right="0" w:hanging="0"/>
        <w:jc w:val="both"/>
        <w:rPr>
          <w:rFonts w:ascii="Times New Roman" w:hAnsi="Times New Roman" w:cs="Times New Roman"/>
          <w:sz w:val="20"/>
          <w:szCs w:val="20"/>
        </w:rPr>
      </w:pPr>
      <w:r>
        <w:rPr>
          <w:rFonts w:cs="Times New Roman" w:ascii="Times New Roman" w:hAnsi="Times New Roman"/>
          <w:sz w:val="20"/>
          <w:szCs w:val="20"/>
        </w:rPr>
        <w:t>несовершеннолетних и защите их прав</w:t>
      </w:r>
    </w:p>
    <w:p>
      <w:pPr>
        <w:pStyle w:val="Normal"/>
        <w:bidi w:val="0"/>
        <w:spacing w:lineRule="auto" w:line="240" w:before="0" w:after="0"/>
        <w:ind w:left="5386" w:right="0" w:hanging="0"/>
        <w:jc w:val="both"/>
        <w:rPr>
          <w:rFonts w:ascii="Times New Roman" w:hAnsi="Times New Roman" w:cs="Times New Roman"/>
          <w:sz w:val="20"/>
          <w:szCs w:val="20"/>
        </w:rPr>
      </w:pPr>
      <w:r>
        <w:rPr>
          <w:rFonts w:cs="Times New Roman" w:ascii="Times New Roman" w:hAnsi="Times New Roman"/>
          <w:sz w:val="20"/>
          <w:szCs w:val="20"/>
        </w:rPr>
        <w:t xml:space="preserve">администрации Дальнереченского </w:t>
      </w:r>
    </w:p>
    <w:p>
      <w:pPr>
        <w:pStyle w:val="Normal"/>
        <w:bidi w:val="0"/>
        <w:spacing w:lineRule="auto" w:line="240" w:before="0" w:after="0"/>
        <w:ind w:left="5386" w:right="0" w:hanging="0"/>
        <w:jc w:val="both"/>
        <w:rPr>
          <w:rFonts w:ascii="Times New Roman" w:hAnsi="Times New Roman" w:cs="Times New Roman"/>
          <w:sz w:val="20"/>
          <w:szCs w:val="20"/>
        </w:rPr>
      </w:pPr>
      <w:r>
        <w:rPr>
          <w:rFonts w:cs="Times New Roman" w:ascii="Times New Roman" w:hAnsi="Times New Roman"/>
          <w:sz w:val="20"/>
          <w:szCs w:val="20"/>
        </w:rPr>
        <w:t>муниципального района</w:t>
      </w:r>
    </w:p>
    <w:p>
      <w:pPr>
        <w:pStyle w:val="Normal"/>
        <w:bidi w:val="0"/>
        <w:spacing w:lineRule="auto" w:line="240" w:before="0" w:after="0"/>
        <w:ind w:left="5386" w:right="0"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от 28.01.2021 № 4/2</w:t>
      </w:r>
    </w:p>
    <w:p>
      <w:pPr>
        <w:pStyle w:val="Normal"/>
        <w:bidi w:val="0"/>
        <w:jc w:val="left"/>
        <w:rPr>
          <w:rFonts w:ascii="Times New Roman" w:hAnsi="Times New Roman" w:cs="Times New Roman"/>
          <w:sz w:val="20"/>
          <w:szCs w:val="20"/>
        </w:rPr>
      </w:pPr>
      <w:r>
        <w:rPr>
          <w:rFonts w:cs="Times New Roman" w:ascii="Times New Roman" w:hAnsi="Times New Roman"/>
          <w:sz w:val="20"/>
          <w:szCs w:val="20"/>
        </w:rPr>
      </w:r>
    </w:p>
    <w:p>
      <w:pPr>
        <w:pStyle w:val="Normal"/>
        <w:bidi w:val="0"/>
        <w:jc w:val="center"/>
        <w:rPr>
          <w:rFonts w:ascii="Times New Roman" w:hAnsi="Times New Roman" w:cs="Times New Roman"/>
          <w:b/>
          <w:b/>
          <w:sz w:val="20"/>
          <w:szCs w:val="20"/>
        </w:rPr>
      </w:pPr>
      <w:r>
        <w:rPr>
          <w:rFonts w:cs="Times New Roman" w:ascii="Times New Roman" w:hAnsi="Times New Roman"/>
          <w:b/>
          <w:sz w:val="20"/>
          <w:szCs w:val="20"/>
        </w:rPr>
        <w:t>План мероприятий («дорожная карта») на 2021 -2023 годы  по профилактике социального сиротства, направленный на сохранение кровной семьи на территории  Дальнереченского муниципального района</w:t>
      </w:r>
    </w:p>
    <w:p>
      <w:pPr>
        <w:pStyle w:val="Normal"/>
        <w:tabs>
          <w:tab w:val="clear" w:pos="709"/>
          <w:tab w:val="left" w:pos="11218" w:leader="none"/>
        </w:tabs>
        <w:bidi w:val="0"/>
        <w:ind w:left="5556" w:right="0" w:hanging="0"/>
        <w:jc w:val="center"/>
        <w:rPr>
          <w:rFonts w:ascii="Times New Roman" w:hAnsi="Times New Roman" w:cs="Times New Roman"/>
          <w:b/>
          <w:b/>
          <w:sz w:val="20"/>
          <w:szCs w:val="20"/>
        </w:rPr>
      </w:pPr>
      <w:r>
        <w:rPr>
          <w:rFonts w:cs="Times New Roman" w:ascii="Times New Roman" w:hAnsi="Times New Roman"/>
          <w:b/>
          <w:sz w:val="20"/>
          <w:szCs w:val="20"/>
        </w:rPr>
      </w:r>
    </w:p>
    <w:tbl>
      <w:tblPr>
        <w:tblW w:w="9571" w:type="dxa"/>
        <w:jc w:val="left"/>
        <w:tblInd w:w="-113" w:type="dxa"/>
        <w:tblLayout w:type="fixed"/>
        <w:tblCellMar>
          <w:top w:w="0" w:type="dxa"/>
          <w:left w:w="108" w:type="dxa"/>
          <w:bottom w:w="0" w:type="dxa"/>
          <w:right w:w="108" w:type="dxa"/>
        </w:tblCellMar>
      </w:tblPr>
      <w:tblGrid>
        <w:gridCol w:w="572"/>
        <w:gridCol w:w="4327"/>
        <w:gridCol w:w="1795"/>
        <w:gridCol w:w="2877"/>
      </w:tblGrid>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ascii="Times New Roman" w:hAnsi="Times New Roman"/>
                <w:kern w:val="0"/>
                <w:sz w:val="20"/>
                <w:szCs w:val="20"/>
                <w:lang w:val="ru-RU" w:eastAsia="en-US" w:bidi="ar-SA"/>
              </w:rPr>
            </w:r>
          </w:p>
        </w:tc>
        <w:tc>
          <w:tcPr>
            <w:tcW w:w="8999" w:type="dxa"/>
            <w:gridSpan w:val="3"/>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1.Организационно-правовые мероприятия по профилактики социального сиротства и семейного благополучия,  направленные  на  сохранение кровных семей</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ascii="Times New Roman" w:hAnsi="Times New Roman"/>
                <w:kern w:val="0"/>
                <w:sz w:val="20"/>
                <w:szCs w:val="20"/>
                <w:lang w:val="ru-RU" w:eastAsia="en-US" w:bidi="ar-SA"/>
              </w:rPr>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Мероприятия</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Сроки</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Ответственные исполнители</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1.1</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Выявление семей с детьми на  ранней стадии семейного неблагополучия и проведения профилактической работы с семьей</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both"/>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1.2</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Выявление семей,  воспитывающих несовершеннолетних детей, родители,  которых злоупотребляют спиртными напитками и проведение профилактической работы с данными семьями.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1.3</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Социальное сопровождение семей, находящихся в трудной жизненной ситуации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1.4</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Патронаж социально-опасных семей  и семей, находящихся в трудной   жизненной ситуации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1.5</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Оказание мер социальной поддержки семьям с детьми (социально-опасные семьи и семьи, находящиеся в трудной жизненной ситуации)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1.6</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Оказание социальных услуг детям,  находящимся в социально-опасном положении и в трудной жизненной ситуации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КГБУСО «ДСРЦН» «Надежда», КГКУ «Центр социальной поддержки населения по Дальнереченскому ДГО и ДМР», отдел опеки и попечительства Дальнереченского муниципального района,  Администрация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1.7</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Разработана и утверждена Муниципальная программа «Развитие образования на территории Дальнереченского муниципального района на 2020-2024 гг.»  в  которой предусмотрены мероприятия по профилактике безнадзорности и правонарушений несовершеннолетних.</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 раз в год</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КДН иЗП администрации Дальнереченского МР, МКУ «УНО».</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1.8</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Социально-психологической сопровождение биологических семей в процессе восстановления родителей  в родительских  правах: консультирование, реабилитационная.</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1.9</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Проведение профилактических медицинских осмотров, детей воспитывающихся в замещающих семьях.</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 раз  в год</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Дальнереченского муниципального района, КГБУЗ «Дальнереченская ЦГБ»</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ascii="Times New Roman" w:hAnsi="Times New Roman"/>
                <w:kern w:val="0"/>
                <w:sz w:val="20"/>
                <w:szCs w:val="20"/>
                <w:lang w:val="ru-RU" w:eastAsia="en-US" w:bidi="ar-SA"/>
              </w:rPr>
            </w:r>
          </w:p>
        </w:tc>
        <w:tc>
          <w:tcPr>
            <w:tcW w:w="8999" w:type="dxa"/>
            <w:gridSpan w:val="3"/>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2.Информационно-просветительская работа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2.1</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Исполнение  Постановление Правительства Приморского края от 19.06.2020 №548-пп «Об утверждении Порядка предоставления меры социальной поддержки отдельным категориям граждан по оснащению жилых помещений автономными дымовыми пожарными извещателями» (категория многодетные семьи)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КГКУ «Центр социальной поддержки населения по Дальнереченскому  ГО и Дальнереченскому МР», КДНиЗП,  </w:t>
            </w:r>
            <w:r>
              <w:rPr>
                <w:rFonts w:eastAsia="Calibri" w:cs="Times New Roman" w:ascii="Times New Roman" w:hAnsi="Times New Roman"/>
                <w:color w:val="FF0000"/>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ОНДи ПР г. Дальнереченска 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2.2</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Размещение информации в СМИ, в социальных сетях, на  официальном сайте администрации Дальнереченского муниципального района по профилактике социального сиротства, направленной на сохранение кровной семьи на территории Дальнереченского МР</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2.3</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Выпуск    буклет,  листовок, посвященных ответственному  родительству,   профилактике социального сиротства.</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 раза в год</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МКУ «РИДЦ», отдел опеки и попечительства   Дальнереченского муниципального района, КЗНиЗП,  КГБУСО «ДСРЦН» «Надежда»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2.4</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Размещение на официальных сайтах   учреждений системы профилактики безнадзорности   информации по пропаганде семейных ценностей, по формированию ответственного родительства и укрепления семейных отношений.</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2.5</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Размещение в СМИ материалов,  пропагандирующих семейные ценности ответственное родительство, защищенное детство; положительный опыт воспитания детей в кровных и замещающих семьях.</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 раза в год</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по Дальнереченского муниципального  района, КДН и ЗП, КГКУ «Центр социальной поддержки населения по Дальнереченскому  ГО и Дальнереченскому МР», КГБУСО «ДСРЦН» «Надежда»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2.6</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Информирование семей, в том числе замещающих о мерах социальной поддержки.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b/>
                <w:b/>
                <w:kern w:val="0"/>
                <w:sz w:val="20"/>
                <w:szCs w:val="20"/>
                <w:lang w:val="ru-RU" w:eastAsia="en-US" w:bidi="ar-SA"/>
              </w:rPr>
            </w:pPr>
            <w:r>
              <w:rPr>
                <w:rFonts w:eastAsia="Calibri" w:ascii="Times New Roman" w:hAnsi="Times New Roman"/>
                <w:b/>
                <w:kern w:val="0"/>
                <w:sz w:val="20"/>
                <w:szCs w:val="20"/>
                <w:lang w:val="ru-RU" w:eastAsia="en-US" w:bidi="ar-SA"/>
              </w:rPr>
            </w:r>
          </w:p>
        </w:tc>
        <w:tc>
          <w:tcPr>
            <w:tcW w:w="8999" w:type="dxa"/>
            <w:gridSpan w:val="3"/>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3.Оказание мер социальной  помощи</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3.1</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Проведение акций:</w:t>
            </w:r>
          </w:p>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«Помоги собраться в школу»</w:t>
            </w:r>
          </w:p>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«Елка желаний»</w:t>
            </w:r>
          </w:p>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«Твори  добро»</w:t>
            </w:r>
          </w:p>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 местное отделение партии «Единая Россия».</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3.2</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Организация отдыха и  оздоровления несовершеннолетних</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МКУ «УНО», КГКУ «Центр социальной поддержки населения по Дальнереченскому  ГО и Дальнереченскому МР»</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3.3</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Предоставление семьям,  имеющим детей, адресной государственной социальной помощи на основании социального контракта.</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КГКУ «Центр социальной поддержки населения по Дальнереченскому  ГО и Дальнереченскому  МР»</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3.4</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Предоставление семьям, </w:t>
            </w:r>
            <w:r>
              <w:rPr>
                <w:rFonts w:eastAsia="Calibri" w:cs="Times New Roman" w:ascii="Times New Roman" w:hAnsi="Times New Roman"/>
                <w:b/>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имеющим детей, ежемесячного пособия на ребенка.</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КГКУ «Центр социальной поддержки населения по Дальнереченскому  ГО и Дальнереченскому МР»</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3.5</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Обеспечение бесплатным питанием детей, находящихся в трудной жизненной ситуации, в социально – опасном положении,  воспитывающихся, в многодетных и замещающих семьях.</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В учебное время</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МКУ «УНО»</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3.6</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Предоставление семьям социальной поддержки на муниципальном уровне, в том числе по содержанию детей в дошкольных образовательных организациях.</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МКУ «УНО»</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b/>
                <w:b/>
                <w:kern w:val="0"/>
                <w:sz w:val="20"/>
                <w:szCs w:val="20"/>
                <w:lang w:val="ru-RU" w:eastAsia="en-US" w:bidi="ar-SA"/>
              </w:rPr>
            </w:pPr>
            <w:r>
              <w:rPr>
                <w:rFonts w:eastAsia="Calibri" w:ascii="Times New Roman" w:hAnsi="Times New Roman"/>
                <w:b/>
                <w:kern w:val="0"/>
                <w:sz w:val="20"/>
                <w:szCs w:val="20"/>
                <w:lang w:val="ru-RU" w:eastAsia="en-US" w:bidi="ar-SA"/>
              </w:rPr>
            </w:r>
          </w:p>
        </w:tc>
        <w:tc>
          <w:tcPr>
            <w:tcW w:w="8999" w:type="dxa"/>
            <w:gridSpan w:val="3"/>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4. Постинтернатное сопровождение</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ascii="Times New Roman" w:hAnsi="Times New Roman"/>
                <w:kern w:val="0"/>
                <w:sz w:val="20"/>
                <w:szCs w:val="20"/>
                <w:lang w:val="ru-RU" w:eastAsia="en-US" w:bidi="ar-SA"/>
              </w:rPr>
              <w:t>4.1</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Организация  и проведение  мероприятий по постинтернатному сопровождению выпускников образовательных учреждений для детей-сирот и детей, оставшихся без попечения родителей</w:t>
            </w:r>
          </w:p>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 справки, предоставление жилых помещений)</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КГОБУ «Ракитненская КШИ», Отдел опеки и попечительства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ascii="Times New Roman" w:hAnsi="Times New Roman"/>
                <w:kern w:val="0"/>
                <w:sz w:val="20"/>
                <w:szCs w:val="20"/>
                <w:lang w:val="ru-RU" w:eastAsia="en-US" w:bidi="ar-SA"/>
              </w:rPr>
              <w:t>4.2</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Оказание выпускникам образовательных учреждений,  для детей-сирот и детей, оставшихся без попечения родителей, а также лицам, из числа детей-сирот и детей, оставшихся без попечения родителей помощи в социальной адаптации по средствам консультативной, психологической, педагогической, юридической, социальной и иной помощи, а так же предоставление, при необходимости, возможности временного бесплатного проживания в организациях для детей сирот.</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по Дальнереченского муниципального  района, КГОБУ «Ракитненская КШИ».</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b/>
                <w:b/>
                <w:kern w:val="0"/>
                <w:sz w:val="20"/>
                <w:szCs w:val="20"/>
                <w:lang w:val="ru-RU" w:eastAsia="en-US" w:bidi="ar-SA"/>
              </w:rPr>
            </w:pPr>
            <w:r>
              <w:rPr>
                <w:rFonts w:eastAsia="Calibri" w:ascii="Times New Roman" w:hAnsi="Times New Roman"/>
                <w:b/>
                <w:kern w:val="0"/>
                <w:sz w:val="20"/>
                <w:szCs w:val="20"/>
                <w:lang w:val="ru-RU" w:eastAsia="en-US" w:bidi="ar-SA"/>
              </w:rPr>
            </w:r>
          </w:p>
        </w:tc>
        <w:tc>
          <w:tcPr>
            <w:tcW w:w="8999" w:type="dxa"/>
            <w:gridSpan w:val="3"/>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center"/>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t>5. Пропаганда  форм семейного устройства детей-сирот и детей, оставшихся без попечения родителей</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5.1</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Проведение информационно-просветительской работы с населением во вопросам прохождения обязательной подготовки лиц, желающих принять на воспитание  в свою семью ребенка.</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 xml:space="preserve"> </w:t>
            </w: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5.2</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Подготовка, граждан желающих принять на воспитание детей, оставшихся без попечения родителей, обучение кандидатов  в СППиССЗС в приемные родители, опекуны, усыновители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1 раз в квартал</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по Дальнереченскому муниципальному району, КГКУ « Центр содействия семейному устройству г. Дальнереченска»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5.3</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Пропаганда  позитивного образа семьи</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ascii="Times New Roman" w:hAnsi="Times New Roman"/>
                <w:kern w:val="0"/>
                <w:sz w:val="20"/>
                <w:szCs w:val="20"/>
                <w:lang w:val="ru-RU" w:eastAsia="en-US" w:bidi="ar-SA"/>
              </w:rPr>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5.4</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Оформление информационных стендов по вопросам передачи  детей-сирот и детей, оставшихся без попечения родителей, на воспитание в семьи граждан.</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 мере необходимости</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5.5</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Организация и проведение муниципального конкурса для опекунских и приемных семей «Лучшая замещающая семья».</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Раз в год</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Дальнереченского муниципального  района, МКУ «РИДЦ»,</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5.6</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Предоставление информации по вопросам передачи детей-сирот  и детей, оставшихся без попечения родителей, на воспитание в семью</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Отдел опеки и попечительства  Дальнереченского муниципального  района</w:t>
            </w:r>
          </w:p>
        </w:tc>
      </w:tr>
      <w:tr>
        <w:trPr/>
        <w:tc>
          <w:tcPr>
            <w:tcW w:w="572"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5.7</w:t>
            </w:r>
          </w:p>
        </w:tc>
        <w:tc>
          <w:tcPr>
            <w:tcW w:w="432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Организация и проведение межведомственных рейдов в семьи воспитанников, законные представители, которых лишены/ограничены в родительских правах; в замещающие  семьи, семьи родственников.</w:t>
            </w:r>
          </w:p>
        </w:tc>
        <w:tc>
          <w:tcPr>
            <w:tcW w:w="1795"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постоянно</w:t>
            </w:r>
          </w:p>
        </w:tc>
        <w:tc>
          <w:tcPr>
            <w:tcW w:w="2877"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Органы системы профилактики Дальнереченского муниципального района, местное отделение Дальнереченского муниципального района Приморского регионального отделения Всероссийского общественного движения «Матери России»</w:t>
            </w:r>
          </w:p>
        </w:tc>
      </w:tr>
    </w:tbl>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cs="Times New Roman"/>
          <w:b/>
          <w:b/>
          <w:sz w:val="20"/>
          <w:szCs w:val="20"/>
        </w:rPr>
      </w:pPr>
      <w:r>
        <w:rPr>
          <w:rFonts w:cs="Times New Roman" w:ascii="Times New Roman" w:hAnsi="Times New Roman"/>
          <w:b/>
          <w:sz w:val="20"/>
          <w:szCs w:val="20"/>
        </w:rPr>
        <w:t>Список сокращений</w:t>
      </w:r>
    </w:p>
    <w:tbl>
      <w:tblPr>
        <w:tblW w:w="9571" w:type="dxa"/>
        <w:jc w:val="left"/>
        <w:tblInd w:w="-113" w:type="dxa"/>
        <w:tblLayout w:type="fixed"/>
        <w:tblCellMar>
          <w:top w:w="0" w:type="dxa"/>
          <w:left w:w="108" w:type="dxa"/>
          <w:bottom w:w="0" w:type="dxa"/>
          <w:right w:w="108" w:type="dxa"/>
        </w:tblCellMar>
      </w:tblPr>
      <w:tblGrid>
        <w:gridCol w:w="3368"/>
        <w:gridCol w:w="6203"/>
      </w:tblGrid>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КДНиЗП  администрации Дальнереченского МР</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Комиссия по делам несовершеннолетних и защите их прав  администрации Дальнереченского МР</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КГОБУ «Ракитненская КШИ»,</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Краевое государственное общеобразовательное бюджетное учреждение «Ракитненская специальная (коррекционная) общеобразовательная школа-интернат»</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МКУ «РИДЦ»,</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pPr>
            <w:r>
              <w:rPr>
                <w:rFonts w:eastAsia="Calibri" w:cs="Times New Roman" w:ascii="Times New Roman" w:hAnsi="Times New Roman"/>
                <w:kern w:val="0"/>
                <w:sz w:val="20"/>
                <w:szCs w:val="20"/>
                <w:lang w:val="ru-RU" w:eastAsia="en-US" w:bidi="ar-SA"/>
              </w:rPr>
              <w:t>М</w:t>
            </w:r>
            <w:r>
              <w:rPr>
                <w:rFonts w:eastAsia="Calibri" w:cs="Times New Roman" w:ascii="Times New Roman" w:hAnsi="Times New Roman"/>
                <w:kern w:val="0"/>
                <w:sz w:val="20"/>
                <w:szCs w:val="20"/>
                <w:lang w:val="ru-RU" w:eastAsia="en-US" w:bidi="ar-SA"/>
              </w:rPr>
              <w:t>униципальное казенное учреждение «Районный информационно-досуговый центр»</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КГБУСО «ДСРЦН» «Надежда</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Краевое государственное бюджетное учреждение социального обслуживания «Дальнереченский социально-реабилитационный  центр несовершеннолетних «Надежда»</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КГКУ « Центр содействия семейному устройству г. Дальнереченска»</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Краевое государственное казенное учреждение « Центр содействия семейному устройству г. Дальнереченска»</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МКУ «УНО»</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Муниципальное казенное учреждение  «Управление народного образования»</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КГКУ «Центр социальной поддержки населения по Дальнереченскому  ГО и</w:t>
            </w:r>
          </w:p>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Дальнереченскому МР»</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Краевое государственное казенное учреждение  «Центр социальной поддержки населения по Дальнереченскому</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ОНДиПР г. Дальнереченска и Дальнереченского муниципального района</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О</w:t>
            </w:r>
            <w:r>
              <w:rPr>
                <w:rFonts w:eastAsia="Calibri" w:cs="Times New Roman" w:ascii="Times New Roman" w:hAnsi="Times New Roman"/>
                <w:kern w:val="0"/>
                <w:sz w:val="20"/>
                <w:szCs w:val="20"/>
                <w:lang w:val="ru-RU" w:eastAsia="en-US" w:bidi="ar-SA"/>
              </w:rPr>
              <w:t>тдел надзорной деятельности и профилактической работы по городу Дальнереченску и Дальнереченскому муниципальному району</w:t>
            </w:r>
          </w:p>
          <w:p>
            <w:pPr>
              <w:pStyle w:val="Normal"/>
              <w:widowControl/>
              <w:bidi w:val="0"/>
              <w:spacing w:lineRule="auto" w:line="240" w:before="0" w:after="0"/>
              <w:jc w:val="left"/>
              <w:rPr>
                <w:rFonts w:ascii="Times New Roman" w:hAnsi="Times New Roman" w:eastAsia="Calibri" w:cs="Times New Roman"/>
                <w:b/>
                <w:b/>
                <w:kern w:val="0"/>
                <w:sz w:val="20"/>
                <w:szCs w:val="20"/>
                <w:lang w:val="ru-RU" w:eastAsia="en-US" w:bidi="ar-SA"/>
              </w:rPr>
            </w:pPr>
            <w:r>
              <w:rPr>
                <w:rFonts w:eastAsia="Calibri" w:cs="Times New Roman" w:ascii="Times New Roman" w:hAnsi="Times New Roman"/>
                <w:b/>
                <w:kern w:val="0"/>
                <w:sz w:val="20"/>
                <w:szCs w:val="20"/>
                <w:lang w:val="ru-RU" w:eastAsia="en-US" w:bidi="ar-SA"/>
              </w:rPr>
            </w:r>
          </w:p>
        </w:tc>
      </w:tr>
      <w:tr>
        <w:trPr/>
        <w:tc>
          <w:tcPr>
            <w:tcW w:w="3368"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КГБУЗ «Дальнереченская ЦГБ»</w:t>
            </w:r>
          </w:p>
        </w:tc>
        <w:tc>
          <w:tcPr>
            <w:tcW w:w="6203" w:type="dxa"/>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40" w:before="0" w:after="0"/>
              <w:jc w:val="left"/>
              <w:rPr>
                <w:rFonts w:ascii="Times New Roman" w:hAnsi="Times New Roman" w:eastAsia="Calibri" w:cs="Times New Roman"/>
                <w:kern w:val="0"/>
                <w:sz w:val="20"/>
                <w:szCs w:val="20"/>
                <w:lang w:val="ru-RU" w:eastAsia="en-US" w:bidi="ar-SA"/>
              </w:rPr>
            </w:pPr>
            <w:r>
              <w:rPr>
                <w:rFonts w:eastAsia="Calibri" w:cs="Times New Roman" w:ascii="Times New Roman" w:hAnsi="Times New Roman"/>
                <w:kern w:val="0"/>
                <w:sz w:val="20"/>
                <w:szCs w:val="20"/>
                <w:lang w:val="ru-RU" w:eastAsia="en-US" w:bidi="ar-SA"/>
              </w:rPr>
              <w:t>Краевое государственное бюджетное учреждение здравоохранения «Дальнереченская центральная городская больница»</w:t>
            </w:r>
          </w:p>
        </w:tc>
      </w:tr>
    </w:tbl>
    <w:p>
      <w:pPr>
        <w:pStyle w:val="Normal"/>
        <w:bidi w:val="0"/>
        <w:jc w:val="left"/>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9"/>
          <w:tab w:val="left" w:pos="-142" w:leader="none"/>
        </w:tabs>
        <w:bidi w:val="0"/>
        <w:spacing w:lineRule="auto" w:line="240"/>
        <w:ind w:left="0" w:right="0" w:hanging="0"/>
        <w:jc w:val="both"/>
        <w:rPr>
          <w:rFonts w:ascii="Times New Roman" w:hAnsi="Times New Roman" w:cs="Times New Roman"/>
          <w:b/>
          <w:b/>
          <w:bCs/>
          <w:sz w:val="24"/>
          <w:szCs w:val="24"/>
          <w:lang w:val="ru-RU" w:eastAsia="en-US"/>
        </w:rPr>
      </w:pPr>
      <w:r>
        <w:rPr>
          <w:rFonts w:cs="Times New Roman" w:ascii="Times New Roman" w:hAnsi="Times New Roman"/>
          <w:b/>
          <w:bCs/>
          <w:sz w:val="24"/>
          <w:szCs w:val="24"/>
          <w:lang w:val="ru-RU" w:eastAsia="en-US"/>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spacing w:lineRule="exact" w:line="240" w:before="0" w:after="0"/>
      <w:ind w:left="720" w:right="0" w:hanging="0"/>
      <w:contextualSpacing/>
    </w:pPr>
    <w:rPr>
      <w:rFonts w:eastAsia="Times New Roman"/>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7</Pages>
  <Words>2072</Words>
  <Characters>15760</Characters>
  <CharactersWithSpaces>18282</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2021-02-09T12:05:55Z</dcterms:created>
  <dc:creator/>
  <dc:description/>
  <dc:language>ru-RU</dc:language>
  <cp:lastModifiedBy/>
  <dcterms:modified xsi:type="dcterms:W3CDTF">2021-02-09T12:08:59Z</dcterms:modified>
  <cp:revision>2</cp:revision>
  <dc:subject/>
  <dc:title/>
</cp:coreProperties>
</file>