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2" w:rsidRPr="0097288B" w:rsidRDefault="00186172" w:rsidP="002458AA">
      <w:pPr>
        <w:pStyle w:val="a4"/>
        <w:jc w:val="center"/>
        <w:rPr>
          <w:b/>
        </w:rPr>
      </w:pPr>
      <w:r w:rsidRPr="0097288B">
        <w:rPr>
          <w:b/>
        </w:rPr>
        <w:t>Земельный участок может облагаться налогом по нескольким ставкам</w:t>
      </w:r>
    </w:p>
    <w:p w:rsidR="002458AA" w:rsidRDefault="002458AA" w:rsidP="002458AA">
      <w:pPr>
        <w:pStyle w:val="a4"/>
        <w:ind w:firstLine="708"/>
      </w:pPr>
    </w:p>
    <w:p w:rsidR="002458AA" w:rsidRDefault="00186172" w:rsidP="006904C4">
      <w:pPr>
        <w:pStyle w:val="a4"/>
        <w:spacing w:line="360" w:lineRule="auto"/>
        <w:ind w:firstLine="708"/>
      </w:pPr>
      <w:r w:rsidRPr="0097288B">
        <w:t>В предусмотренных НК РФ случаях земельный налог может исчисляться для одного участка с применением различных налоговых ставок.</w:t>
      </w:r>
    </w:p>
    <w:p w:rsidR="002458AA" w:rsidRDefault="00186172" w:rsidP="006904C4">
      <w:pPr>
        <w:pStyle w:val="a4"/>
        <w:spacing w:line="360" w:lineRule="auto"/>
        <w:ind w:firstLine="708"/>
      </w:pPr>
      <w:r w:rsidRPr="0097288B">
        <w:t>Ставки по налогу не могут </w:t>
      </w:r>
      <w:hyperlink r:id="rId5" w:tgtFrame="_blank" w:history="1">
        <w:r w:rsidRPr="002458AA">
          <w:t>превышать 0,3 %</w:t>
        </w:r>
      </w:hyperlink>
      <w:r w:rsidRPr="0097288B">
        <w:t> для земельного участка, занятого жилищным фондом и объектами ЖКХ. Исключение – доля такого участка, приходящаяся на иные объекты.</w:t>
      </w:r>
    </w:p>
    <w:p w:rsidR="002458AA" w:rsidRDefault="00186172" w:rsidP="006904C4">
      <w:pPr>
        <w:pStyle w:val="a4"/>
        <w:spacing w:line="360" w:lineRule="auto"/>
        <w:ind w:firstLine="708"/>
      </w:pPr>
      <w:r w:rsidRPr="0097288B">
        <w:t>Таким образом, если на земельном участке наряду с другими объектами находятся объекты жилищного фонда (в том числе общежития) и объекты ЖКХ, то при исчислении налога к площади, занимаемой непоср</w:t>
      </w:r>
      <w:r w:rsidR="006904C4">
        <w:t xml:space="preserve">едственно указанными объектами, </w:t>
      </w:r>
      <w:hyperlink r:id="rId6" w:tgtFrame="_blank" w:history="1">
        <w:r w:rsidRPr="002458AA">
          <w:t>применяется</w:t>
        </w:r>
      </w:hyperlink>
      <w:r w:rsidR="006904C4">
        <w:t xml:space="preserve"> </w:t>
      </w:r>
      <w:r w:rsidRPr="0097288B">
        <w:t>налоговая ставка не более 0,3 %. Для остальной площади этого участка используется ставка, определенная для данной категории земельных участков.</w:t>
      </w:r>
    </w:p>
    <w:p w:rsidR="002458AA" w:rsidRDefault="00186172" w:rsidP="006904C4">
      <w:pPr>
        <w:pStyle w:val="a4"/>
        <w:spacing w:line="360" w:lineRule="auto"/>
        <w:ind w:firstLine="708"/>
      </w:pPr>
      <w:r w:rsidRPr="0097288B">
        <w:t>Для определения площадей частей участка, занятых жилищным фондом, объектами ЖКХ и иными объектами, могут использоваться сведения Единого государственного реестра недвижимости.</w:t>
      </w:r>
    </w:p>
    <w:p w:rsidR="002458AA" w:rsidRDefault="00186172" w:rsidP="006904C4">
      <w:pPr>
        <w:pStyle w:val="a4"/>
        <w:spacing w:line="360" w:lineRule="auto"/>
        <w:ind w:firstLine="708"/>
      </w:pPr>
      <w:r w:rsidRPr="0097288B">
        <w:t xml:space="preserve">Кроме того, налоговая база и налоговые ставки в отношении земельного участка, находящегося на территории нескольких </w:t>
      </w:r>
      <w:r w:rsidR="006904C4">
        <w:t xml:space="preserve">муниципальных образований, </w:t>
      </w:r>
      <w:hyperlink r:id="rId7" w:tgtFrame="_blank" w:history="1">
        <w:r w:rsidRPr="002458AA">
          <w:t>определяются</w:t>
        </w:r>
      </w:hyperlink>
      <w:r w:rsidR="006904C4">
        <w:t xml:space="preserve"> </w:t>
      </w:r>
      <w:r w:rsidRPr="0097288B">
        <w:t>по каждому из них отдельно. Источниками сведений о площади участка, приходящейся на территорию муниципалитета, могут быть сведения Единого государственного ре</w:t>
      </w:r>
      <w:r w:rsidR="006904C4">
        <w:t xml:space="preserve">естра недвижимости либо данные, </w:t>
      </w:r>
      <w:hyperlink r:id="rId8" w:tgtFrame="_blank" w:history="1">
        <w:r w:rsidRPr="002458AA">
          <w:t>представлявшиеся</w:t>
        </w:r>
      </w:hyperlink>
      <w:r w:rsidR="006904C4">
        <w:t xml:space="preserve"> </w:t>
      </w:r>
      <w:r w:rsidRPr="0097288B">
        <w:t>в налоговые органы на основании актов органов местного самоуправления</w:t>
      </w:r>
      <w:r w:rsidR="006904C4">
        <w:t xml:space="preserve">, принятых до вступления в силу </w:t>
      </w:r>
      <w:hyperlink r:id="rId9" w:tgtFrame="_blank" w:history="1">
        <w:r w:rsidRPr="002458AA">
          <w:t>Федеральног</w:t>
        </w:r>
        <w:r w:rsidR="006904C4">
          <w:t xml:space="preserve">о закона от 21.07.1997 № 122-ФЗ </w:t>
        </w:r>
        <w:r w:rsidRPr="002458AA">
          <w:t>«О государственной регистрации прав на недвижимое имущество и сделок с ним»</w:t>
        </w:r>
      </w:hyperlink>
      <w:r w:rsidRPr="0097288B">
        <w:t>.</w:t>
      </w:r>
      <w:bookmarkStart w:id="0" w:name="_GoBack"/>
      <w:bookmarkEnd w:id="0"/>
    </w:p>
    <w:sectPr w:rsidR="002458AA" w:rsidSect="002458AA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2"/>
    <w:rsid w:val="0015765B"/>
    <w:rsid w:val="00186172"/>
    <w:rsid w:val="002458AA"/>
    <w:rsid w:val="006904C4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617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8617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8617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617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18617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18617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6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d36363d427eab17744e49ef6f68eae5481107a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21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165/fd2ac88b2311a6053a128cfa43aa07672e82621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cp:lastPrinted>2021-09-17T00:34:00Z</cp:lastPrinted>
  <dcterms:created xsi:type="dcterms:W3CDTF">2021-09-17T00:12:00Z</dcterms:created>
  <dcterms:modified xsi:type="dcterms:W3CDTF">2021-09-17T00:35:00Z</dcterms:modified>
</cp:coreProperties>
</file>