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/>
          <w:bCs/>
          <w:sz w:val="24"/>
          <w:szCs w:val="24"/>
        </w:rPr>
        <w:t xml:space="preserve">Рыбоохрана по Дальнереченскому району информирует </w:t>
      </w:r>
      <w:r>
        <w:rPr>
          <w:rFonts w:cs="Tahoma" w:ascii="Times New Roman" w:hAnsi="Times New Roman"/>
          <w:b/>
          <w:bCs/>
          <w:sz w:val="24"/>
          <w:szCs w:val="24"/>
        </w:rPr>
        <w:t xml:space="preserve"> рыболовов-любителей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 xml:space="preserve">К сведению граждан, осуществляющих любительское рыболовство на внутренних водных объектах, в границах </w:t>
      </w:r>
      <w:r>
        <w:rPr>
          <w:rFonts w:cs="Tahoma" w:ascii="Times New Roman" w:hAnsi="Times New Roman"/>
          <w:sz w:val="24"/>
          <w:szCs w:val="24"/>
        </w:rPr>
        <w:t>Дальнереченского</w:t>
      </w:r>
      <w:r>
        <w:rPr>
          <w:rFonts w:cs="Tahoma" w:ascii="Times New Roman" w:hAnsi="Times New Roman"/>
          <w:sz w:val="24"/>
          <w:szCs w:val="24"/>
        </w:rPr>
        <w:t xml:space="preserve"> муниципального района.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С 20 июля 2020 года вступили  в действие новые Правила рыболовства для Дальневосточного рыбохозяйственного бассейна (утверждены приказом Министерства сельского хозяйства РФ от 23.05.2019 г. № 267).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  </w:t>
      </w:r>
      <w:r>
        <w:rPr>
          <w:rFonts w:cs="Tahoma" w:ascii="Times New Roman" w:hAnsi="Times New Roman"/>
          <w:sz w:val="24"/>
          <w:szCs w:val="24"/>
        </w:rPr>
        <w:t>Правила рыболовства для ДВ рыбохозяйственного бассейна (далее – Правила рыболовства) регламентируют деятельность российских юридических лиц, индивидуальных предпринимателей и граждан, включая лиц, относящихся к коренным малочисленным народам Севера, Сибири и Дальнего Востока Российской Федерации, и их общины, осуществляющих рыболовство во внутренних водах Российской Федерации, в том числе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в пределах Дальневосточного рыбохозяйственного бассейна, за исключением водных объектов или их частей, находящихся на особо охраняемых природных территориях федерального значения, в пределах которых рыболовство запрещено в соответствии с законодательством Российской Федерации об особо охраняемых природных территориях федерального значения, а также иностранных юридических лиц и граждан, осуществляющих рыболовство в соответствии с законодательством Российской Федерации и международными договорами Российской Федерации.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Правила добычи (вылова) водных биоресурсов в целях любительского рыболовства регламентированы главой III Правил рыболовства. Граждане вправе осуществлять любительское рыболовство на водных объектах общего пользования свободно и бесплатно в соответствии с Правилами рыболовства.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  </w:t>
      </w:r>
      <w:r>
        <w:rPr>
          <w:rFonts w:cs="Tahoma" w:ascii="Times New Roman" w:hAnsi="Times New Roman"/>
          <w:sz w:val="24"/>
          <w:szCs w:val="24"/>
        </w:rPr>
        <w:t>Настоящими Правилами также устанавливаются запретные сроки (периоды) для добычи (вылова) водных биоресурсов, районы, запретные для добычи (вылова), запретные для добычи виды водных биоресурсов, виды запретных орудий и способов добычи, минимальный размер добываемых водных биоресурсов (промысловый размер), суточная норма добычи (вылова) водных биоресурсов.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  </w:t>
      </w:r>
      <w:r>
        <w:rPr>
          <w:rFonts w:cs="Tahoma" w:ascii="Times New Roman" w:hAnsi="Times New Roman"/>
          <w:sz w:val="24"/>
          <w:szCs w:val="24"/>
        </w:rPr>
        <w:t xml:space="preserve">Применительно к водоемам </w:t>
      </w:r>
      <w:r>
        <w:rPr>
          <w:rFonts w:cs="Tahoma" w:ascii="Times New Roman" w:hAnsi="Times New Roman"/>
          <w:sz w:val="24"/>
          <w:szCs w:val="24"/>
        </w:rPr>
        <w:t>Дальнереченского</w:t>
      </w:r>
      <w:r>
        <w:rPr>
          <w:rFonts w:cs="Tahoma" w:ascii="Times New Roman" w:hAnsi="Times New Roman"/>
          <w:sz w:val="24"/>
          <w:szCs w:val="24"/>
        </w:rPr>
        <w:t xml:space="preserve"> района граждане должны знать, что в соответствии с п. 53 Правил рыболовства запрещается осуществлять любительское рыболовство: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а) на нерестилищах тихоокеанских лососей  в сроки, определяемые комиссией по регулированию добычи (вылова) анадромных видов рыб;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б) горбуши, кеты, симы, краба камчатского, краба синего, краба колючего, краба волосатого четырехугольного, крабов-стригунов – за пределами рыболовных (рыбопромысловых) участков, за исключением добычи (вылова) в местах добычи (вылова), указанных в приложении № 6 к Правилам рыболовства «Места добычи (вылова) крабов и тихоокеанских лососей в прилегающей к территории Приморского края внутренних морских водах Российской Федерации и территориальном море Российской Федерации, а также внутренних водных объектах, расположенных на территории Приморского края».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  </w:t>
      </w:r>
      <w:r>
        <w:rPr>
          <w:rFonts w:cs="Tahoma" w:ascii="Times New Roman" w:hAnsi="Times New Roman"/>
          <w:sz w:val="24"/>
          <w:szCs w:val="24"/>
        </w:rPr>
        <w:t xml:space="preserve">Согласно </w:t>
      </w:r>
      <w:r>
        <w:rPr>
          <w:rFonts w:cs="Tahoma" w:ascii="Times New Roman" w:hAnsi="Times New Roman"/>
          <w:sz w:val="24"/>
          <w:szCs w:val="24"/>
        </w:rPr>
        <w:t>Таблицы</w:t>
      </w:r>
      <w:r>
        <w:rPr>
          <w:rFonts w:cs="Tahoma" w:ascii="Times New Roman" w:hAnsi="Times New Roman"/>
          <w:sz w:val="24"/>
          <w:szCs w:val="24"/>
        </w:rPr>
        <w:t xml:space="preserve">№ </w:t>
      </w:r>
      <w:r>
        <w:rPr>
          <w:rFonts w:cs="Tahoma" w:ascii="Times New Roman" w:hAnsi="Times New Roman"/>
          <w:sz w:val="24"/>
          <w:szCs w:val="24"/>
        </w:rPr>
        <w:t>3</w:t>
      </w:r>
      <w:r>
        <w:rPr>
          <w:rFonts w:cs="Tahoma" w:ascii="Times New Roman" w:hAnsi="Times New Roman"/>
          <w:sz w:val="24"/>
          <w:szCs w:val="24"/>
        </w:rPr>
        <w:t xml:space="preserve"> в границах </w:t>
      </w:r>
      <w:r>
        <w:rPr>
          <w:rFonts w:cs="Tahoma" w:ascii="Times New Roman" w:hAnsi="Times New Roman"/>
          <w:sz w:val="24"/>
          <w:szCs w:val="24"/>
        </w:rPr>
        <w:t>Дальнереченского</w:t>
      </w:r>
      <w:r>
        <w:rPr>
          <w:rFonts w:cs="Tahoma" w:ascii="Times New Roman" w:hAnsi="Times New Roman"/>
          <w:sz w:val="24"/>
          <w:szCs w:val="24"/>
        </w:rPr>
        <w:t xml:space="preserve"> района </w:t>
      </w:r>
      <w:r>
        <w:rPr>
          <w:rFonts w:cs="Tahoma" w:ascii="Times New Roman" w:hAnsi="Times New Roman"/>
          <w:sz w:val="24"/>
          <w:szCs w:val="24"/>
        </w:rPr>
        <w:t>устанавливается промысловый размер.</w:t>
      </w:r>
      <w:r>
        <w:rPr>
          <w:rFonts w:cs="Tahoma" w:ascii="Times New Roman" w:hAnsi="Times New Roman"/>
          <w:sz w:val="24"/>
          <w:szCs w:val="24"/>
        </w:rPr>
        <w:t>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Таблица №3</w:t>
      </w:r>
    </w:p>
    <w:p>
      <w:pPr>
        <w:pStyle w:val="Normal"/>
        <w:jc w:val="right"/>
        <w:rPr>
          <w:rFonts w:cs="Tahom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Промысловый размер водных биоресурсов для осуществления любительского рыболовства</w:t>
      </w:r>
    </w:p>
    <w:p>
      <w:pPr>
        <w:pStyle w:val="Normal"/>
        <w:jc w:val="right"/>
        <w:rPr>
          <w:rFonts w:cs="Tahoma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4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83"/>
        <w:gridCol w:w="4089"/>
      </w:tblGrid>
      <w:tr>
        <w:trPr/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Вид водных биоресурсов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Промысловый размер не менее (в см)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Верхогляд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60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Змееголов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40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Карась, в прочих районах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16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Конь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Ленок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45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Лещ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35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Налим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45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Сазан, в прочих районах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35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Сом пресноводный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50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Таймень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70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Толстолобики 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60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Хариус, в прочих районах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25</w:t>
            </w:r>
          </w:p>
        </w:tc>
      </w:tr>
      <w:tr>
        <w:trPr/>
        <w:tc>
          <w:tcPr>
            <w:tcW w:w="538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Щука, в прочих районах</w:t>
            </w:r>
          </w:p>
        </w:tc>
        <w:tc>
          <w:tcPr>
            <w:tcW w:w="4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50</w:t>
            </w:r>
          </w:p>
        </w:tc>
      </w:tr>
    </w:tbl>
    <w:p>
      <w:pPr>
        <w:pStyle w:val="Normal"/>
        <w:jc w:val="both"/>
        <w:rPr>
          <w:rFonts w:cs="Tahom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ромысловый размер водных биоресурсов определяется в свежем виде: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 рыб — путем измерения длины от вершины рыла (при закрытом рте) до основания средних лучей хвостового плавника.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Таблица №4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Суточная норма добычи (вылова) водных биоресурсов</w:t>
      </w:r>
    </w:p>
    <w:p>
      <w:pPr>
        <w:pStyle w:val="Normal"/>
        <w:jc w:val="center"/>
        <w:rPr>
          <w:rFonts w:cs="Tahoma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354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118"/>
        <w:gridCol w:w="3118"/>
        <w:gridCol w:w="3118"/>
      </w:tblGrid>
      <w:tr>
        <w:trPr/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Виды водных биоресурсов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Суточная норма добычи (вылова) (внутренние морские воды Российской Федерации, территориальное море, Российской Федерации), штук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Суточная норма добычи (вылова) (внутренние водные объекты), штук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Кета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Ленки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Хариусы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30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Толстолобики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Сазан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Верхогляд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Щука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Монгольский краснопер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Белый амурский лещ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Налим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Таймень 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Сом амурский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Карась серебрянный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Конь-губарь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</w:t>
            </w:r>
          </w:p>
        </w:tc>
      </w:tr>
      <w:tr>
        <w:trPr/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Конь пёстрый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-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20</w:t>
            </w:r>
          </w:p>
        </w:tc>
      </w:tr>
    </w:tbl>
    <w:p>
      <w:pPr>
        <w:pStyle w:val="Normal"/>
        <w:jc w:val="center"/>
        <w:rPr>
          <w:rFonts w:cs="Tahom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cs="Tahoma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   </w:t>
      </w:r>
      <w:r>
        <w:rPr>
          <w:rFonts w:cs="Tahoma" w:ascii="Times New Roman" w:hAnsi="Times New Roman"/>
          <w:sz w:val="24"/>
          <w:szCs w:val="24"/>
        </w:rPr>
        <w:t>К видам запретных орудий и способов добычи (вылова) водных биоресурсов при любительском рыболовстве относятся: применение аханов (сетей с размером (шагом) ячеи 90 мм и более), самоловов, тралов, капканов, острог, добыча (вылов) водных биоресурсов с использованием осветительных приборов различных конструкций и видов (в том числе фонарей, ламп, прожекторов) с поверхности и в толще воды в темное время суток (далее – на подсветку) (астрономическое, с захода до восхода солнца), за исключением осуществления подводной охоты, рыболовства с использованием удочек (в том числе донных удочек) и спиннинговых снастей всех систем и наименований, а также раколовок, установка в водных объектах заколов и других видов заграждений, установка крючковых орудий добычи (вылова) с количеством блесен или крючков, превышающим установленное Правилами рыболовства.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При любительском рыболовстве без путевок запрещается применение драг, ставных, плавных и иных видов сетей, неводов, бредней, вентерей (верш), мереж (рюж), ручных сачков, подъемных сеток, петель, захватов, фитилей.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Правилами рыболовства установлена и суточная норма добычи (вылова) водных биоресурсов для одного гражданина по видам водных биоресурсов.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  </w:t>
      </w:r>
      <w:r>
        <w:rPr>
          <w:rFonts w:cs="Tahoma" w:ascii="Times New Roman" w:hAnsi="Times New Roman"/>
          <w:sz w:val="24"/>
          <w:szCs w:val="24"/>
        </w:rPr>
        <w:t>Добыча (вылов) водных биоресурсов разрешается в размере не более одной суточной нормы при пребывании на водном объекте в течении суток. В случае пребывания на водном объекте более одних суток, независимо от времени пребывания на водном объекте добыча (вылов) водных биоресурсов разрешается в размере не более двух суточных норм добычи (вылова).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В случае превышения суточной нормы добыча (вылов) водных биоресурсов прекращается.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Кроме того, с 21сентября 2020 года Приказом Министерства сельского хозяйства РФ от 20 июля 2020 г. № 405 внесены изменения в пункт 48 Правил рыболовства.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  </w:t>
      </w:r>
      <w:r>
        <w:rPr>
          <w:rFonts w:cs="Tahoma" w:ascii="Times New Roman" w:hAnsi="Times New Roman"/>
          <w:sz w:val="24"/>
          <w:szCs w:val="24"/>
        </w:rPr>
        <w:t>48. Граждане вправе осуществлять любительское рыболовство на водных объектах общего пользования свободно и бесплатно, за исключением случаев, предусмотренных Федеральным законом от 25 декабря 2018 г.  № 475-ФЗ «О любительском рыболовстве и о внесении изменений в отдельные законодательные акты Российской Федерации» и другими федеральными законами, в соответствии с Правилами рыболовства.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Гражданам запрещается осуществлять рыболовство: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на используемых для прудовой аквакультуры,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на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Гражданам запрещается применение сетных орудий добычи (вылова) водных биоресурсов в целях любительского рыболовства на рыбоводных участках.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При осуществлении любительского рыболовства с применением сетных орудий добычи (вылова) гражданам запрещается: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нахождение на водных объектах, в водоохранной зоне с сетными орудиями добычи (вылова), не учтенными в территориальных органах Федерального агентства по рыболовству и не имеющими обязательной поштучной маркировки в соответствии с Правилами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Правилами обязательной поштучной маркировки сетных орудий добычи (вылова) водных биологи-ческих ресурсов, утвержденными постановлением Правительства Российской Федерации от 21 ноября 2019 г. N 1482 (Собрание законодательства Российской Федерации, 2019, N 48, ст. 6833; 2020, N 16, ст. 2622);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нахождение на водных объектах, в водоохранной зоне с сетными орудиями добычи (вылова) в периоды, когда их использование запрещено Правилами рыболовства, и в районах, где их использование запрещено Правилами рыболовства;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нахождение на водных объектах, в водоохранной зоне с сетными орудиями добычи (вылова), учтенными в территориальных органах Федерального агентства по рыболовству и имеющими обязательную поштучную маркировку в соответствии с Правилами учета сетных орудий добычи (вылова) водных биологических ресурсов и ведения реестра сетных орудий добычи (вылова) водных биологических ресурсов и Правилами обязательной поштучной маркировки сетных орудий добычи (вылова) водных биологических ресурсов, утвержденными постановлением Правительства Российской Федерации от 21 ноября 2019 г. N 1482, если их количество превышает разрешенное для использования Правилами рыболовства (за исключением лиц, которым предоставлен рыболовный участок для организации любительского рыболовства);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нахождение на водных объектах, в водоохранной зоне с жаберными сетями, учтенными в территориальных органах Федерального агентства по рыболовству и имеющими обязательную поштучную маркировку, без документов, удостоверяющих личность лица, владеющего этими жаберными сетями на праве собственности (при осуществлении любительского рыболовства без путевки);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применять жаберные сети без документа, удостоверяющего личность лица, осуществляющего их применение;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передавать жаберные сети, в отношении которых осуществлены учет и обязательная поштучная маркировка, другому лицу (при осуществлении любительского рыболовства без путевки);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- оставлять установленные на водном объекте жаберные сети без контроля лица, осуществляющего их применение.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В соответствии с п. 53 Правил рыболовства запрещается осуществлять любительское рыболовство: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  </w:t>
      </w:r>
      <w:r>
        <w:rPr>
          <w:rFonts w:cs="Tahoma" w:ascii="Times New Roman" w:hAnsi="Times New Roman"/>
          <w:sz w:val="24"/>
          <w:szCs w:val="24"/>
        </w:rPr>
        <w:t>а) на нерестилищах тихоокеанских лососей в сроки, определяемые комиссией по регулированию добычи (вылова) анадромных видов рыб.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  </w:t>
      </w:r>
      <w:r>
        <w:rPr>
          <w:rFonts w:cs="Tahoma" w:ascii="Times New Roman" w:hAnsi="Times New Roman"/>
          <w:sz w:val="24"/>
          <w:szCs w:val="24"/>
        </w:rPr>
        <w:t>Согласно Протоколу заседания Комиссии по регулированию добычи (вылова) анадромных видов рыб в Приморском крае от 17 сентября 2020 года № 6, сроки запрета осуществления любительского рыболовства всех видов водных биоресурсов на нерестилищах тихоокеанских лососей в бассейнах пресноводных водных объектов япономорского побережья установлен в период с 20 сентября по 25 ноября 2020 года.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 xml:space="preserve">  </w:t>
      </w:r>
      <w:r>
        <w:rPr>
          <w:rFonts w:cs="Tahoma" w:ascii="Times New Roman" w:hAnsi="Times New Roman"/>
          <w:sz w:val="24"/>
          <w:szCs w:val="24"/>
        </w:rPr>
        <w:t>За нарушение Правил рыболовства, природоохранного законодательства в области рыболовства и сохранения водных биоресурсов, граждане несут ответственность в соответствии со ст.ст. 8.33, 8.37, 8.38, 8.48 КоАП РФ.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4"/>
          <w:szCs w:val="24"/>
        </w:rPr>
        <w:t> </w:t>
      </w:r>
      <w:r>
        <w:rPr>
          <w:rFonts w:cs="Tahoma" w:ascii="Times New Roman" w:hAnsi="Times New Roman"/>
          <w:sz w:val="24"/>
          <w:szCs w:val="24"/>
        </w:rPr>
        <w:t>Выезжая на отдых на лоно природы, располагаясь на берегу водоема гражданам необходимо знать, что в соответствии с требованием ст. 65 Водного кодекса РФ, запрещается движение и стоянка  транспортных средств в границах водоохранных зон, прибрежных защитных полос (кроме специальных транспортных средств), за исключением их движения  по дорогам и стоянки на дорогах и в специально оборудованных местах, имеющих твердое покрытие. Ответственность за данное правонарушение предусмотрена ч. 1 ст. 8.42 КоАП РФ.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 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  <w:font w:name="Tahoma">
    <w:charset w:val="01"/>
    <w:family w:val="swiss"/>
    <w:pitch w:val="default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18e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semiHidden/>
    <w:qFormat/>
    <w:rsid w:val="00f766e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64f2d"/>
    <w:pPr>
      <w:widowControl w:val="false"/>
      <w:bidi w:val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864f2d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149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LibreOffice/6.2.8.2$Linux_X86_64 LibreOffice_project/20$Build-2</Application>
  <Pages>5</Pages>
  <Words>1397</Words>
  <Characters>9574</Characters>
  <CharactersWithSpaces>10930</CharactersWithSpaces>
  <Paragraphs>117</Paragraphs>
  <Company>RSN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2020-10-15T00:11:00Z</dcterms:created>
  <dc:creator>User</dc:creator>
  <dc:description/>
  <dc:language>ru-RU</dc:language>
  <cp:lastModifiedBy/>
  <cp:lastPrinted>2018-12-17T23:58:00Z</cp:lastPrinted>
  <dcterms:modified xsi:type="dcterms:W3CDTF">2020-10-16T10:54:16Z</dcterms:modified>
  <cp:revision>3</cp:revision>
  <dc:subject/>
  <dc:title>Отдел надзора за охраной,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RSN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